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Cs/>
          <w:i/>
          <w:iCs/>
          <w:sz w:val="32"/>
          <w:szCs w:val="32"/>
          <w:lang w:val="es-ES" w:eastAsia="zh-TW"/>
        </w:rPr>
        <w:id w:val="619133028"/>
        <w:placeholder>
          <w:docPart w:val="F75B2FF2FDE8446D815FE3348E5D2839"/>
        </w:placeholder>
        <w:text w:multiLine="1"/>
      </w:sdtPr>
      <w:sdtContent>
        <w:p w14:paraId="01C163EF" w14:textId="19ABC99B" w:rsidR="0099603D" w:rsidRDefault="00B31FE9" w:rsidP="0099603D">
          <w:pPr>
            <w:pStyle w:val="Ingress"/>
          </w:pPr>
          <w:r w:rsidRPr="00B31FE9">
            <w:rPr>
              <w:rFonts w:ascii="Times New Roman" w:hAnsi="Times New Roman"/>
              <w:bCs/>
              <w:i/>
              <w:iCs/>
              <w:sz w:val="32"/>
              <w:szCs w:val="32"/>
              <w:lang w:val="es-ES" w:eastAsia="zh-TW"/>
            </w:rPr>
            <w:t>El Cuerpo Colegiado de Guardianes del Río Atrato: la defensa de derechos humanos a través de la protección del medio ambiente</w:t>
          </w:r>
        </w:p>
      </w:sdtContent>
    </w:sdt>
    <w:p w14:paraId="73236A37" w14:textId="77777777" w:rsidR="00F0028D" w:rsidRDefault="00F0028D" w:rsidP="0099603D">
      <w:pPr>
        <w:pStyle w:val="Ingress"/>
      </w:pPr>
    </w:p>
    <w:p w14:paraId="30AEA822" w14:textId="51FD2D66" w:rsidR="00F0028D" w:rsidRDefault="00B31FE9" w:rsidP="007E5AFB">
      <w:pPr>
        <w:pStyle w:val="Brdtekst"/>
        <w:rPr>
          <w:rFonts w:ascii="Aptos" w:eastAsia="Aptos" w:hAnsi="Aptos" w:cs="Aptos"/>
          <w:i/>
          <w:iCs/>
          <w:sz w:val="24"/>
          <w:lang w:val="es-ES" w:eastAsia="zh-TW"/>
        </w:rPr>
      </w:pPr>
      <w:r w:rsidRPr="00B31FE9">
        <w:rPr>
          <w:rFonts w:ascii="Aptos" w:eastAsia="Aptos" w:hAnsi="Aptos" w:cs="Aptos"/>
          <w:i/>
          <w:iCs/>
          <w:sz w:val="24"/>
          <w:lang w:val="es-ES" w:eastAsia="zh-TW"/>
        </w:rPr>
        <w:t xml:space="preserve">El Premio </w:t>
      </w:r>
      <w:proofErr w:type="spellStart"/>
      <w:r w:rsidRPr="00B31FE9">
        <w:rPr>
          <w:rFonts w:ascii="Aptos" w:eastAsia="Aptos" w:hAnsi="Aptos" w:cs="Aptos"/>
          <w:i/>
          <w:iCs/>
          <w:sz w:val="24"/>
          <w:lang w:val="es-ES" w:eastAsia="zh-TW"/>
        </w:rPr>
        <w:t>Rafto</w:t>
      </w:r>
      <w:proofErr w:type="spellEnd"/>
      <w:r w:rsidRPr="00B31FE9">
        <w:rPr>
          <w:rFonts w:ascii="Aptos" w:eastAsia="Aptos" w:hAnsi="Aptos" w:cs="Aptos"/>
          <w:i/>
          <w:iCs/>
          <w:sz w:val="24"/>
          <w:lang w:val="es-ES" w:eastAsia="zh-TW"/>
        </w:rPr>
        <w:t xml:space="preserve"> de 2026 se ha concedido al Cuerpo Colegiado de Guardianes del Río Atrato por su valiente lucha contra la destrucción del medio ambiente y en defensa de derechos humanos en Colombia. La cuenca del río Atrato está expuesta a altos niveles de violencia, ya que la región se encuentra bajo el dominio de grupos armados y redes de delincuencia organizada implicados en actividades generalizadas de minería ilegal, con graves consecuencias para el medio ambiente. En estas difíciles circunstancias, y riesgos personales importantes, los Guardianes se han mantenido firmes en la primera línea de defensa. Mediante la vigilancia de los daños ambientales, la labor de concientización y formación con las comunidades afectadas y la exigencia de responsabilidades a las autoridades, el Cuerpo Colegiado de Guardianes demuestra cómo la protección de la naturaleza y de los derechos humanos fundamentales puede impulsarse desde las propias comunidades.</w:t>
      </w:r>
    </w:p>
    <w:p w14:paraId="7F8BA551" w14:textId="77777777" w:rsidR="00B31FE9" w:rsidRDefault="00B31FE9" w:rsidP="007E5AFB">
      <w:pPr>
        <w:pStyle w:val="Brdtekst"/>
        <w:rPr>
          <w:rFonts w:ascii="Aptos" w:eastAsia="Aptos" w:hAnsi="Aptos" w:cs="Aptos"/>
          <w:i/>
          <w:iCs/>
          <w:sz w:val="24"/>
          <w:lang w:val="es-ES" w:eastAsia="zh-TW"/>
        </w:rPr>
      </w:pPr>
    </w:p>
    <w:p w14:paraId="1CFC4C08" w14:textId="77777777" w:rsidR="00B31FE9" w:rsidRPr="00230E5A" w:rsidRDefault="00B31FE9" w:rsidP="00B31FE9">
      <w:pPr>
        <w:spacing w:before="240" w:after="240"/>
        <w:jc w:val="both"/>
        <w:rPr>
          <w:rFonts w:ascii="Aptos" w:eastAsia="Aptos" w:hAnsi="Aptos" w:cs="Aptos"/>
          <w:b/>
          <w:bCs/>
          <w:sz w:val="24"/>
          <w:lang w:val="es-ES"/>
        </w:rPr>
      </w:pPr>
      <w:r w:rsidRPr="00230E5A">
        <w:rPr>
          <w:rFonts w:ascii="Aptos" w:eastAsia="Aptos" w:hAnsi="Aptos" w:cs="Aptos"/>
          <w:b/>
          <w:bCs/>
          <w:sz w:val="24"/>
          <w:lang w:val="es-ES"/>
        </w:rPr>
        <w:t>El río Atrato y la crisis de derechos humanos</w:t>
      </w:r>
    </w:p>
    <w:p w14:paraId="15FD9C16" w14:textId="77777777" w:rsidR="00B31FE9" w:rsidRPr="00230E5A" w:rsidRDefault="00B31FE9" w:rsidP="00B31FE9">
      <w:pPr>
        <w:jc w:val="both"/>
        <w:rPr>
          <w:rFonts w:ascii="Aptos" w:eastAsia="Aptos" w:hAnsi="Aptos" w:cs="Aptos"/>
          <w:sz w:val="24"/>
          <w:lang w:val="es-ES"/>
        </w:rPr>
      </w:pPr>
      <w:r w:rsidRPr="00230E5A">
        <w:rPr>
          <w:rFonts w:ascii="Aptos" w:eastAsia="Aptos" w:hAnsi="Aptos" w:cs="Aptos"/>
          <w:sz w:val="24"/>
          <w:lang w:val="es-ES"/>
        </w:rPr>
        <w:t>El río Atrato, que nace en la cordillera de los Andes y desemboca en el mar Caribe, en el noroeste de Colombia, atraviesa una de las regiones con mayor biodiversidad del mundo, pero también una de las más afectadas por el conflicto del país. La riqueza en recursos naturales de la zona ha atraído a grupos armados, cárteles y redes de delincuencia organizada, que utilizan el territorio para el tráfico de armas y drogas, así como para la explotación ilegal de recursos. La creciente militarización de la región, la violencia generalizada y la destrucción del ecosistema del río Atrato han sumido a las comunidades locales en una crisis ambiental y humanitaria sin precedentes.</w:t>
      </w:r>
    </w:p>
    <w:p w14:paraId="3D59AEEA" w14:textId="77777777" w:rsidR="00B31FE9" w:rsidRPr="00230E5A" w:rsidRDefault="00B31FE9" w:rsidP="00B31FE9">
      <w:pPr>
        <w:spacing w:before="240" w:after="240"/>
        <w:jc w:val="both"/>
        <w:rPr>
          <w:rFonts w:ascii="Aptos" w:eastAsia="Aptos" w:hAnsi="Aptos" w:cs="Aptos"/>
          <w:sz w:val="24"/>
          <w:lang w:val="es-ES"/>
        </w:rPr>
      </w:pPr>
      <w:r w:rsidRPr="00230E5A">
        <w:rPr>
          <w:rFonts w:ascii="Aptos" w:eastAsia="Aptos" w:hAnsi="Aptos" w:cs="Aptos"/>
          <w:sz w:val="24"/>
          <w:lang w:val="es-ES"/>
        </w:rPr>
        <w:t xml:space="preserve">Las riberas del Atrato han sido durante generaciones el hogar de comunidades afrocolombianas e indígenas, cuya vida está estrechamente ligada al río. Para ellas, el Atrato es una auténtica fuente de vida: les proporciona agua potable, sustenta sus sistemas alimentarios y constituye </w:t>
      </w:r>
      <w:r>
        <w:rPr>
          <w:rFonts w:ascii="Aptos" w:eastAsia="Aptos" w:hAnsi="Aptos" w:cs="Aptos"/>
          <w:sz w:val="24"/>
          <w:lang w:val="es-ES"/>
        </w:rPr>
        <w:t>un medio</w:t>
      </w:r>
      <w:r w:rsidRPr="00230E5A">
        <w:rPr>
          <w:rFonts w:ascii="Aptos" w:eastAsia="Aptos" w:hAnsi="Aptos" w:cs="Aptos"/>
          <w:sz w:val="24"/>
          <w:lang w:val="es-ES"/>
        </w:rPr>
        <w:t xml:space="preserve"> de transporte fundamental.</w:t>
      </w:r>
    </w:p>
    <w:p w14:paraId="34982651" w14:textId="77777777" w:rsidR="00B31FE9" w:rsidRPr="00230E5A" w:rsidRDefault="00B31FE9" w:rsidP="00B31FE9">
      <w:pPr>
        <w:jc w:val="both"/>
        <w:rPr>
          <w:rFonts w:ascii="Aptos" w:eastAsia="Aptos" w:hAnsi="Aptos" w:cs="Aptos"/>
          <w:sz w:val="24"/>
          <w:lang w:val="es-ES"/>
        </w:rPr>
      </w:pPr>
      <w:r w:rsidRPr="00230E5A">
        <w:rPr>
          <w:rFonts w:ascii="Aptos" w:eastAsia="Aptos" w:hAnsi="Aptos" w:cs="Aptos"/>
          <w:sz w:val="24"/>
          <w:lang w:val="es-ES"/>
        </w:rPr>
        <w:t xml:space="preserve">La extracción ilegal de recursos y la minería de oro han provocado una grave degradación ambiental y una intensa contaminación en la zona. Por ejemplo, el </w:t>
      </w:r>
      <w:r w:rsidRPr="00230E5A">
        <w:rPr>
          <w:rFonts w:ascii="Aptos" w:eastAsia="Aptos" w:hAnsi="Aptos" w:cs="Aptos"/>
          <w:sz w:val="24"/>
          <w:lang w:val="es-ES"/>
        </w:rPr>
        <w:lastRenderedPageBreak/>
        <w:t xml:space="preserve">uso de mercurio en los procesos mineros ha </w:t>
      </w:r>
      <w:r>
        <w:rPr>
          <w:rFonts w:ascii="Aptos" w:eastAsia="Aptos" w:hAnsi="Aptos" w:cs="Aptos"/>
          <w:sz w:val="24"/>
          <w:lang w:val="es-ES"/>
        </w:rPr>
        <w:t>provocado</w:t>
      </w:r>
      <w:r w:rsidRPr="00230E5A">
        <w:rPr>
          <w:rFonts w:ascii="Aptos" w:eastAsia="Aptos" w:hAnsi="Aptos" w:cs="Aptos"/>
          <w:sz w:val="24"/>
          <w:lang w:val="es-ES"/>
        </w:rPr>
        <w:t xml:space="preserve"> la acumulación de sustancias tóxicas en el suelo, el agua del río y los organismos acuáticos, lo que amenaza la biodiversidad, deteriora los ecosistemas y pone en peligro la salud de las personas</w:t>
      </w:r>
      <w:r w:rsidRPr="00230E5A">
        <w:rPr>
          <w:rFonts w:ascii="Aptos" w:eastAsia="Aptos" w:hAnsi="Aptos" w:cs="Aptos"/>
          <w:sz w:val="22"/>
          <w:szCs w:val="22"/>
          <w:vertAlign w:val="superscript"/>
          <w:lang w:val="es-ES"/>
        </w:rPr>
        <w:footnoteReference w:id="1"/>
      </w:r>
      <w:r w:rsidRPr="00230E5A">
        <w:rPr>
          <w:rFonts w:ascii="Aptos" w:eastAsia="Aptos" w:hAnsi="Aptos" w:cs="Aptos"/>
          <w:sz w:val="24"/>
          <w:lang w:val="es-ES"/>
        </w:rPr>
        <w:t xml:space="preserve">. Esta contaminación tóxica constituye un grave problema de salud pública, ya que puede provocar </w:t>
      </w:r>
      <w:r>
        <w:rPr>
          <w:rFonts w:ascii="Aptos" w:eastAsia="Aptos" w:hAnsi="Aptos" w:cs="Aptos"/>
          <w:sz w:val="24"/>
          <w:lang w:val="es-ES"/>
        </w:rPr>
        <w:t>graves</w:t>
      </w:r>
      <w:r w:rsidRPr="00230E5A">
        <w:rPr>
          <w:rFonts w:ascii="Aptos" w:eastAsia="Aptos" w:hAnsi="Aptos" w:cs="Aptos"/>
          <w:sz w:val="24"/>
          <w:lang w:val="es-ES"/>
        </w:rPr>
        <w:t xml:space="preserve"> daños, entre ellos trastornos neurológicos, especialmente en niños pequeños</w:t>
      </w:r>
      <w:r w:rsidRPr="00230E5A">
        <w:rPr>
          <w:rFonts w:ascii="Aptos" w:eastAsia="Aptos" w:hAnsi="Aptos" w:cs="Aptos"/>
          <w:sz w:val="22"/>
          <w:szCs w:val="22"/>
          <w:vertAlign w:val="superscript"/>
          <w:lang w:val="es-ES"/>
        </w:rPr>
        <w:footnoteReference w:id="2"/>
      </w:r>
      <w:r w:rsidRPr="00230E5A">
        <w:rPr>
          <w:rFonts w:ascii="Aptos" w:eastAsia="Aptos" w:hAnsi="Aptos" w:cs="Aptos"/>
          <w:sz w:val="24"/>
          <w:lang w:val="es-ES"/>
        </w:rPr>
        <w:t xml:space="preserve">. Este entorno contaminado vulnera derechos humanos fundamentales de las comunidades locales, como el derecho a un </w:t>
      </w:r>
      <w:r>
        <w:rPr>
          <w:rFonts w:ascii="Aptos" w:eastAsia="Aptos" w:hAnsi="Aptos" w:cs="Aptos"/>
          <w:sz w:val="24"/>
          <w:lang w:val="es-ES"/>
        </w:rPr>
        <w:t>medio ambiente</w:t>
      </w:r>
      <w:r w:rsidRPr="00230E5A">
        <w:rPr>
          <w:rFonts w:ascii="Aptos" w:eastAsia="Aptos" w:hAnsi="Aptos" w:cs="Aptos"/>
          <w:sz w:val="24"/>
          <w:lang w:val="es-ES"/>
        </w:rPr>
        <w:t xml:space="preserve"> sano, al agua, a la seguridad alimentaria y a la vida</w:t>
      </w:r>
      <w:r w:rsidRPr="00230E5A">
        <w:rPr>
          <w:rFonts w:ascii="Aptos" w:eastAsia="Aptos" w:hAnsi="Aptos" w:cs="Aptos"/>
          <w:sz w:val="22"/>
          <w:szCs w:val="22"/>
          <w:vertAlign w:val="superscript"/>
          <w:lang w:val="es-ES"/>
        </w:rPr>
        <w:footnoteReference w:id="3"/>
      </w:r>
      <w:r w:rsidRPr="00230E5A">
        <w:rPr>
          <w:rFonts w:ascii="Aptos" w:eastAsia="Aptos" w:hAnsi="Aptos" w:cs="Aptos"/>
          <w:sz w:val="24"/>
          <w:lang w:val="es-ES"/>
        </w:rPr>
        <w:t>.</w:t>
      </w:r>
    </w:p>
    <w:p w14:paraId="4C02CD10" w14:textId="77777777" w:rsidR="00B31FE9" w:rsidRPr="00230E5A" w:rsidRDefault="00B31FE9" w:rsidP="00B31FE9">
      <w:pPr>
        <w:jc w:val="both"/>
        <w:rPr>
          <w:rFonts w:ascii="Aptos" w:eastAsia="Aptos" w:hAnsi="Aptos" w:cs="Aptos"/>
          <w:b/>
          <w:bCs/>
          <w:sz w:val="24"/>
          <w:lang w:val="es-ES"/>
        </w:rPr>
      </w:pPr>
    </w:p>
    <w:p w14:paraId="2281BE46" w14:textId="77777777" w:rsidR="00B31FE9" w:rsidRPr="00230E5A" w:rsidRDefault="00B31FE9" w:rsidP="00B31FE9">
      <w:pPr>
        <w:jc w:val="both"/>
        <w:rPr>
          <w:rFonts w:ascii="Aptos" w:eastAsia="Aptos" w:hAnsi="Aptos" w:cs="Aptos"/>
          <w:b/>
          <w:bCs/>
          <w:sz w:val="24"/>
          <w:lang w:val="es-ES"/>
        </w:rPr>
      </w:pPr>
      <w:r w:rsidRPr="00230E5A">
        <w:rPr>
          <w:rFonts w:ascii="Aptos" w:eastAsia="Aptos" w:hAnsi="Aptos" w:cs="Aptos"/>
          <w:b/>
          <w:bCs/>
          <w:sz w:val="24"/>
          <w:lang w:val="es-ES"/>
        </w:rPr>
        <w:t xml:space="preserve">El modelo colectivo de los Guardianes </w:t>
      </w:r>
    </w:p>
    <w:p w14:paraId="666D46A3" w14:textId="77777777" w:rsidR="00B31FE9" w:rsidRDefault="00B31FE9" w:rsidP="00B31FE9">
      <w:pPr>
        <w:jc w:val="both"/>
        <w:rPr>
          <w:rFonts w:ascii="Aptos" w:eastAsia="Aptos" w:hAnsi="Aptos" w:cs="Aptos"/>
          <w:sz w:val="24"/>
          <w:lang w:val="es-ES"/>
        </w:rPr>
      </w:pPr>
      <w:r w:rsidRPr="00230E5A">
        <w:rPr>
          <w:rFonts w:ascii="Aptos" w:eastAsia="Aptos" w:hAnsi="Aptos" w:cs="Aptos"/>
          <w:sz w:val="24"/>
          <w:lang w:val="es-ES"/>
        </w:rPr>
        <w:t xml:space="preserve">El Premio </w:t>
      </w:r>
      <w:proofErr w:type="spellStart"/>
      <w:r w:rsidRPr="00230E5A">
        <w:rPr>
          <w:rFonts w:ascii="Aptos" w:eastAsia="Aptos" w:hAnsi="Aptos" w:cs="Aptos"/>
          <w:sz w:val="24"/>
          <w:lang w:val="es-ES"/>
        </w:rPr>
        <w:t>Rafto</w:t>
      </w:r>
      <w:proofErr w:type="spellEnd"/>
      <w:r w:rsidRPr="00230E5A">
        <w:rPr>
          <w:rFonts w:ascii="Aptos" w:eastAsia="Aptos" w:hAnsi="Aptos" w:cs="Aptos"/>
          <w:sz w:val="24"/>
          <w:lang w:val="es-ES"/>
        </w:rPr>
        <w:t xml:space="preserve"> de 2026 </w:t>
      </w:r>
      <w:r>
        <w:rPr>
          <w:rFonts w:ascii="Aptos" w:eastAsia="Aptos" w:hAnsi="Aptos" w:cs="Aptos"/>
          <w:sz w:val="24"/>
          <w:lang w:val="es-ES"/>
        </w:rPr>
        <w:t xml:space="preserve">cobra especial relevancia en el contexto de la sentencia histórica </w:t>
      </w:r>
      <w:r w:rsidRPr="00230E5A">
        <w:rPr>
          <w:rFonts w:ascii="Aptos" w:eastAsia="Aptos" w:hAnsi="Aptos" w:cs="Aptos"/>
          <w:sz w:val="24"/>
          <w:lang w:val="es-ES"/>
        </w:rPr>
        <w:t xml:space="preserve">dictada en 2016 por </w:t>
      </w:r>
      <w:r>
        <w:rPr>
          <w:rFonts w:ascii="Aptos" w:eastAsia="Aptos" w:hAnsi="Aptos" w:cs="Aptos"/>
          <w:sz w:val="24"/>
          <w:lang w:val="es-ES"/>
        </w:rPr>
        <w:t>la Corte</w:t>
      </w:r>
      <w:r w:rsidRPr="00230E5A">
        <w:rPr>
          <w:rFonts w:ascii="Aptos" w:eastAsia="Aptos" w:hAnsi="Aptos" w:cs="Aptos"/>
          <w:sz w:val="24"/>
          <w:lang w:val="es-ES"/>
        </w:rPr>
        <w:t xml:space="preserve"> Constitucional de Colombia, que reconoció al río Atrato como </w:t>
      </w:r>
      <w:r w:rsidRPr="00A92BB9">
        <w:rPr>
          <w:rFonts w:ascii="Aptos" w:eastAsia="Aptos" w:hAnsi="Aptos" w:cs="Aptos"/>
          <w:sz w:val="24"/>
        </w:rPr>
        <w:t xml:space="preserve">un </w:t>
      </w:r>
      <w:proofErr w:type="spellStart"/>
      <w:r w:rsidRPr="00A92BB9">
        <w:rPr>
          <w:rFonts w:ascii="Aptos" w:eastAsia="Aptos" w:hAnsi="Aptos" w:cs="Aptos"/>
          <w:sz w:val="24"/>
        </w:rPr>
        <w:t>sujeto</w:t>
      </w:r>
      <w:proofErr w:type="spellEnd"/>
      <w:r w:rsidRPr="00A92BB9">
        <w:rPr>
          <w:rFonts w:ascii="Aptos" w:eastAsia="Aptos" w:hAnsi="Aptos" w:cs="Aptos"/>
          <w:sz w:val="24"/>
        </w:rPr>
        <w:t xml:space="preserve"> de derechos </w:t>
      </w:r>
      <w:proofErr w:type="spellStart"/>
      <w:r w:rsidRPr="00A92BB9">
        <w:rPr>
          <w:rFonts w:ascii="Aptos" w:eastAsia="Aptos" w:hAnsi="Aptos" w:cs="Aptos"/>
          <w:sz w:val="24"/>
        </w:rPr>
        <w:t>merecedor</w:t>
      </w:r>
      <w:proofErr w:type="spellEnd"/>
      <w:r w:rsidRPr="00A92BB9">
        <w:rPr>
          <w:rFonts w:ascii="Aptos" w:eastAsia="Aptos" w:hAnsi="Aptos" w:cs="Aptos"/>
          <w:sz w:val="24"/>
        </w:rPr>
        <w:t xml:space="preserve"> de </w:t>
      </w:r>
      <w:proofErr w:type="spellStart"/>
      <w:r w:rsidRPr="00A92BB9">
        <w:rPr>
          <w:rFonts w:ascii="Aptos" w:eastAsia="Aptos" w:hAnsi="Aptos" w:cs="Aptos"/>
          <w:sz w:val="24"/>
        </w:rPr>
        <w:t>protección</w:t>
      </w:r>
      <w:proofErr w:type="spellEnd"/>
      <w:r w:rsidRPr="00230E5A">
        <w:rPr>
          <w:rFonts w:ascii="Aptos" w:eastAsia="Aptos" w:hAnsi="Aptos" w:cs="Aptos"/>
          <w:sz w:val="24"/>
          <w:vertAlign w:val="superscript"/>
          <w:lang w:val="es-ES"/>
        </w:rPr>
        <w:footnoteReference w:id="4"/>
      </w:r>
      <w:r w:rsidRPr="00230E5A">
        <w:rPr>
          <w:rFonts w:ascii="Aptos" w:eastAsia="Aptos" w:hAnsi="Aptos" w:cs="Aptos"/>
          <w:sz w:val="24"/>
          <w:lang w:val="es-ES"/>
        </w:rPr>
        <w:t xml:space="preserve">. La sentencia reconoció la estrecha interdependencia entre el </w:t>
      </w:r>
      <w:r>
        <w:rPr>
          <w:rFonts w:ascii="Aptos" w:eastAsia="Aptos" w:hAnsi="Aptos" w:cs="Aptos"/>
          <w:sz w:val="24"/>
          <w:lang w:val="es-ES"/>
        </w:rPr>
        <w:t>medio ambiente</w:t>
      </w:r>
      <w:r w:rsidRPr="00230E5A">
        <w:rPr>
          <w:rFonts w:ascii="Aptos" w:eastAsia="Aptos" w:hAnsi="Aptos" w:cs="Aptos"/>
          <w:sz w:val="24"/>
          <w:lang w:val="es-ES"/>
        </w:rPr>
        <w:t xml:space="preserve"> y las personas, y puso de relieve cómo su destrucción puede dar lugar a una vulneración de los derechos humanos.</w:t>
      </w:r>
    </w:p>
    <w:p w14:paraId="6D7C922B" w14:textId="77777777" w:rsidR="00B31FE9" w:rsidRPr="00230E5A" w:rsidRDefault="00B31FE9" w:rsidP="00B31FE9">
      <w:pPr>
        <w:jc w:val="both"/>
        <w:rPr>
          <w:rFonts w:ascii="Aptos" w:eastAsia="Aptos" w:hAnsi="Aptos" w:cs="Aptos"/>
          <w:sz w:val="24"/>
          <w:lang w:val="es-ES"/>
        </w:rPr>
      </w:pPr>
    </w:p>
    <w:p w14:paraId="093BD8CC" w14:textId="77777777" w:rsidR="00B31FE9" w:rsidRPr="00230E5A" w:rsidRDefault="00B31FE9" w:rsidP="00B31FE9">
      <w:pPr>
        <w:jc w:val="both"/>
        <w:rPr>
          <w:rFonts w:ascii="Aptos" w:eastAsia="Aptos" w:hAnsi="Aptos" w:cs="Aptos"/>
          <w:sz w:val="24"/>
          <w:lang w:val="es-ES"/>
        </w:rPr>
      </w:pPr>
      <w:r>
        <w:rPr>
          <w:rFonts w:ascii="Aptos" w:eastAsia="Aptos" w:hAnsi="Aptos" w:cs="Aptos"/>
          <w:sz w:val="24"/>
          <w:lang w:val="es-ES"/>
        </w:rPr>
        <w:t>En dicha</w:t>
      </w:r>
      <w:r w:rsidRPr="00230E5A">
        <w:rPr>
          <w:rFonts w:ascii="Aptos" w:eastAsia="Aptos" w:hAnsi="Aptos" w:cs="Aptos"/>
          <w:sz w:val="24"/>
          <w:lang w:val="es-ES"/>
        </w:rPr>
        <w:t xml:space="preserve"> sentencia, la Corte Constitucional </w:t>
      </w:r>
      <w:proofErr w:type="spellStart"/>
      <w:r w:rsidRPr="00A92BB9">
        <w:rPr>
          <w:rFonts w:ascii="Aptos" w:eastAsia="Aptos" w:hAnsi="Aptos" w:cs="Aptos"/>
          <w:sz w:val="24"/>
        </w:rPr>
        <w:t>designó</w:t>
      </w:r>
      <w:proofErr w:type="spellEnd"/>
      <w:r w:rsidRPr="00A92BB9">
        <w:rPr>
          <w:rFonts w:ascii="Aptos" w:eastAsia="Aptos" w:hAnsi="Aptos" w:cs="Aptos"/>
          <w:sz w:val="24"/>
        </w:rPr>
        <w:t xml:space="preserve"> al </w:t>
      </w:r>
      <w:proofErr w:type="spellStart"/>
      <w:r w:rsidRPr="00A92BB9">
        <w:rPr>
          <w:rFonts w:ascii="Aptos" w:eastAsia="Aptos" w:hAnsi="Aptos" w:cs="Aptos"/>
          <w:sz w:val="24"/>
        </w:rPr>
        <w:t>Gobierno</w:t>
      </w:r>
      <w:proofErr w:type="spellEnd"/>
      <w:r w:rsidRPr="00A92BB9">
        <w:rPr>
          <w:rFonts w:ascii="Aptos" w:eastAsia="Aptos" w:hAnsi="Aptos" w:cs="Aptos"/>
          <w:sz w:val="24"/>
        </w:rPr>
        <w:t xml:space="preserve"> </w:t>
      </w:r>
      <w:proofErr w:type="spellStart"/>
      <w:r w:rsidRPr="00A92BB9">
        <w:rPr>
          <w:rFonts w:ascii="Aptos" w:eastAsia="Aptos" w:hAnsi="Aptos" w:cs="Aptos"/>
          <w:sz w:val="24"/>
        </w:rPr>
        <w:t>nacional</w:t>
      </w:r>
      <w:proofErr w:type="spellEnd"/>
      <w:r w:rsidRPr="00A92BB9">
        <w:rPr>
          <w:rFonts w:ascii="Aptos" w:eastAsia="Aptos" w:hAnsi="Aptos" w:cs="Aptos"/>
          <w:sz w:val="24"/>
        </w:rPr>
        <w:t xml:space="preserve"> y a las comunidades </w:t>
      </w:r>
      <w:proofErr w:type="spellStart"/>
      <w:r w:rsidRPr="00A92BB9">
        <w:rPr>
          <w:rFonts w:ascii="Aptos" w:eastAsia="Aptos" w:hAnsi="Aptos" w:cs="Aptos"/>
          <w:sz w:val="24"/>
        </w:rPr>
        <w:t>étnicas</w:t>
      </w:r>
      <w:proofErr w:type="spellEnd"/>
      <w:r w:rsidRPr="00230E5A">
        <w:rPr>
          <w:rFonts w:ascii="Aptos" w:eastAsia="Aptos" w:hAnsi="Aptos" w:cs="Aptos"/>
          <w:sz w:val="24"/>
          <w:lang w:val="es-ES"/>
        </w:rPr>
        <w:t xml:space="preserve"> afectadas como </w:t>
      </w:r>
      <w:r>
        <w:rPr>
          <w:rFonts w:ascii="Aptos" w:eastAsia="Aptos" w:hAnsi="Aptos" w:cs="Aptos"/>
          <w:sz w:val="24"/>
          <w:lang w:val="es-ES"/>
        </w:rPr>
        <w:t>representantes legales</w:t>
      </w:r>
      <w:r w:rsidRPr="00230E5A">
        <w:rPr>
          <w:rFonts w:ascii="Aptos" w:eastAsia="Aptos" w:hAnsi="Aptos" w:cs="Aptos"/>
          <w:sz w:val="24"/>
          <w:lang w:val="es-ES"/>
        </w:rPr>
        <w:t xml:space="preserve"> encargados de supervisar su cumplimiento. Sin embargo, las comunidades consideraron que una sola persona no podía representar adecuadamente la diversidad a lo largo del río, por lo que optaron por un modelo distinto, basado en los principios de representación democrática, toma de decisiones colectiva y justicia ambiental. De este modo, crearon una estructura colectiva formada por catorce guardianes comunitarios, que incluía un hombre y una mujer de cada una de las siete organizaciones </w:t>
      </w:r>
      <w:proofErr w:type="spellStart"/>
      <w:r w:rsidRPr="00230E5A">
        <w:rPr>
          <w:rFonts w:ascii="Aptos" w:eastAsia="Aptos" w:hAnsi="Aptos" w:cs="Aptos"/>
          <w:sz w:val="24"/>
          <w:lang w:val="es-ES"/>
        </w:rPr>
        <w:t>etnoterritoriales</w:t>
      </w:r>
      <w:proofErr w:type="spellEnd"/>
      <w:r w:rsidRPr="00230E5A">
        <w:rPr>
          <w:rFonts w:ascii="Aptos" w:eastAsia="Aptos" w:hAnsi="Aptos" w:cs="Aptos"/>
          <w:sz w:val="24"/>
          <w:lang w:val="es-ES"/>
        </w:rPr>
        <w:t xml:space="preserve"> y sociales de la región, dando lugar así al Cuerpo Colegiado de Guardianes del Río Atrato (CCGA).</w:t>
      </w:r>
    </w:p>
    <w:p w14:paraId="57F8CE11" w14:textId="77777777" w:rsidR="00B31FE9" w:rsidRPr="00230E5A" w:rsidRDefault="00B31FE9" w:rsidP="00B31FE9">
      <w:pPr>
        <w:spacing w:before="240" w:after="240"/>
        <w:jc w:val="both"/>
        <w:rPr>
          <w:rFonts w:ascii="Aptos" w:eastAsia="Aptos" w:hAnsi="Aptos" w:cs="Aptos"/>
          <w:sz w:val="24"/>
          <w:lang w:val="es-ES"/>
        </w:rPr>
      </w:pPr>
      <w:r w:rsidRPr="00230E5A">
        <w:rPr>
          <w:rFonts w:ascii="Aptos" w:eastAsia="Aptos" w:hAnsi="Aptos" w:cs="Aptos"/>
          <w:sz w:val="24"/>
          <w:lang w:val="es-ES"/>
        </w:rPr>
        <w:t xml:space="preserve">Durante la última década, los Guardianes han trabajado </w:t>
      </w:r>
      <w:proofErr w:type="spellStart"/>
      <w:r w:rsidRPr="00A92BB9">
        <w:rPr>
          <w:rFonts w:ascii="Aptos" w:eastAsia="Aptos" w:hAnsi="Aptos" w:cs="Aptos"/>
          <w:sz w:val="24"/>
        </w:rPr>
        <w:t>incansablemente</w:t>
      </w:r>
      <w:proofErr w:type="spellEnd"/>
      <w:r>
        <w:rPr>
          <w:rFonts w:ascii="Aptos" w:eastAsia="Aptos" w:hAnsi="Aptos" w:cs="Aptos"/>
          <w:sz w:val="24"/>
          <w:lang w:val="es-ES"/>
        </w:rPr>
        <w:t xml:space="preserve"> y con </w:t>
      </w:r>
      <w:proofErr w:type="gramStart"/>
      <w:r>
        <w:rPr>
          <w:rFonts w:ascii="Aptos" w:eastAsia="Aptos" w:hAnsi="Aptos" w:cs="Aptos"/>
          <w:sz w:val="24"/>
          <w:lang w:val="es-ES"/>
        </w:rPr>
        <w:t>gran riesgos personales</w:t>
      </w:r>
      <w:proofErr w:type="gramEnd"/>
      <w:r w:rsidRPr="00230E5A">
        <w:rPr>
          <w:rFonts w:ascii="Aptos" w:eastAsia="Aptos" w:hAnsi="Aptos" w:cs="Aptos"/>
          <w:sz w:val="24"/>
          <w:lang w:val="es-ES"/>
        </w:rPr>
        <w:t xml:space="preserve"> en un contexto social y político complejo, violento e impredecible. A pesar de contar con recursos muy limitados, han continuado vigilando y denunciando las zonas afectadas por la minería ilegal y la degradación ambiental, </w:t>
      </w:r>
      <w:r>
        <w:rPr>
          <w:rFonts w:ascii="Aptos" w:eastAsia="Aptos" w:hAnsi="Aptos" w:cs="Aptos"/>
          <w:sz w:val="24"/>
          <w:lang w:val="es-ES"/>
        </w:rPr>
        <w:t>asegurando</w:t>
      </w:r>
      <w:r w:rsidRPr="00230E5A">
        <w:rPr>
          <w:rFonts w:ascii="Aptos" w:eastAsia="Aptos" w:hAnsi="Aptos" w:cs="Aptos"/>
          <w:sz w:val="24"/>
          <w:lang w:val="es-ES"/>
        </w:rPr>
        <w:t xml:space="preserve"> así que quede constancia de las crisis ecológicas que siguen afectando a la región. A través de actividades de sensibilización y formación, informan a las comunidades locales sobre la degradación del </w:t>
      </w:r>
      <w:r>
        <w:rPr>
          <w:rFonts w:ascii="Aptos" w:eastAsia="Aptos" w:hAnsi="Aptos" w:cs="Aptos"/>
          <w:sz w:val="24"/>
          <w:lang w:val="es-ES"/>
        </w:rPr>
        <w:t>medio ambiente</w:t>
      </w:r>
      <w:r w:rsidRPr="00230E5A">
        <w:rPr>
          <w:rFonts w:ascii="Aptos" w:eastAsia="Aptos" w:hAnsi="Aptos" w:cs="Aptos"/>
          <w:sz w:val="24"/>
          <w:lang w:val="es-ES"/>
        </w:rPr>
        <w:t xml:space="preserve">, los riesgos derivados de la contaminación, los derechos del río y sus </w:t>
      </w:r>
      <w:r w:rsidRPr="00230E5A">
        <w:rPr>
          <w:rFonts w:ascii="Aptos" w:eastAsia="Aptos" w:hAnsi="Aptos" w:cs="Aptos"/>
          <w:sz w:val="24"/>
          <w:lang w:val="es-ES"/>
        </w:rPr>
        <w:lastRenderedPageBreak/>
        <w:t xml:space="preserve">propios derechos. El trabajo del CCGA con las comunidades locales es fundamental para garantizar la protección del </w:t>
      </w:r>
      <w:r>
        <w:rPr>
          <w:rFonts w:ascii="Aptos" w:eastAsia="Aptos" w:hAnsi="Aptos" w:cs="Aptos"/>
          <w:sz w:val="24"/>
          <w:lang w:val="es-ES"/>
        </w:rPr>
        <w:t>medio ambiente</w:t>
      </w:r>
      <w:r w:rsidRPr="00230E5A">
        <w:rPr>
          <w:rFonts w:ascii="Aptos" w:eastAsia="Aptos" w:hAnsi="Aptos" w:cs="Aptos"/>
          <w:sz w:val="24"/>
          <w:lang w:val="es-ES"/>
        </w:rPr>
        <w:t xml:space="preserve"> a largo plazo, ya que contribuye a formar a una nueva generación de guardianes y a reducir el riesgo de que los jóvenes sean </w:t>
      </w:r>
      <w:r>
        <w:rPr>
          <w:rFonts w:ascii="Aptos" w:eastAsia="Aptos" w:hAnsi="Aptos" w:cs="Aptos"/>
          <w:sz w:val="24"/>
          <w:lang w:val="es-ES"/>
        </w:rPr>
        <w:t>reclutados</w:t>
      </w:r>
      <w:r w:rsidRPr="00230E5A">
        <w:rPr>
          <w:rFonts w:ascii="Aptos" w:eastAsia="Aptos" w:hAnsi="Aptos" w:cs="Aptos"/>
          <w:sz w:val="24"/>
          <w:lang w:val="es-ES"/>
        </w:rPr>
        <w:t xml:space="preserve"> por grupos armados. Asimismo, el CCGA trabaja activamente con el Gobierno y </w:t>
      </w:r>
      <w:r>
        <w:rPr>
          <w:rFonts w:ascii="Aptos" w:eastAsia="Aptos" w:hAnsi="Aptos" w:cs="Aptos"/>
          <w:sz w:val="24"/>
          <w:lang w:val="es-ES"/>
        </w:rPr>
        <w:t>otros actores relevantes</w:t>
      </w:r>
      <w:r w:rsidRPr="00230E5A">
        <w:rPr>
          <w:rFonts w:ascii="Aptos" w:eastAsia="Aptos" w:hAnsi="Aptos" w:cs="Aptos"/>
          <w:sz w:val="24"/>
          <w:lang w:val="es-ES"/>
        </w:rPr>
        <w:t xml:space="preserve"> para garantizar que la sentencia no se quede únicamente en el papel. Para ello, promueve su aplicación, vela por que su cumplimiento siga siendo una prioridad y ejerce presión sobre las autoridades para que actúen.</w:t>
      </w:r>
    </w:p>
    <w:p w14:paraId="7F0658B5" w14:textId="77777777" w:rsidR="00B31FE9" w:rsidRPr="00230E5A" w:rsidRDefault="00B31FE9" w:rsidP="00B31FE9">
      <w:pPr>
        <w:spacing w:before="240" w:after="240"/>
        <w:jc w:val="both"/>
        <w:rPr>
          <w:rFonts w:ascii="Aptos" w:eastAsia="Aptos" w:hAnsi="Aptos" w:cs="Aptos"/>
          <w:sz w:val="24"/>
          <w:lang w:val="es-ES"/>
        </w:rPr>
      </w:pPr>
      <w:r w:rsidRPr="00230E5A">
        <w:rPr>
          <w:rFonts w:ascii="Aptos" w:eastAsia="Aptos" w:hAnsi="Aptos" w:cs="Aptos"/>
          <w:sz w:val="24"/>
          <w:lang w:val="es-ES"/>
        </w:rPr>
        <w:t xml:space="preserve">La importancia del trabajo de los Guardianes </w:t>
      </w:r>
      <w:r>
        <w:rPr>
          <w:rFonts w:ascii="Aptos" w:eastAsia="Aptos" w:hAnsi="Aptos" w:cs="Aptos"/>
          <w:sz w:val="24"/>
          <w:lang w:val="es-ES"/>
        </w:rPr>
        <w:t>se extiende</w:t>
      </w:r>
      <w:r w:rsidRPr="00230E5A">
        <w:rPr>
          <w:rFonts w:ascii="Aptos" w:eastAsia="Aptos" w:hAnsi="Aptos" w:cs="Aptos"/>
          <w:sz w:val="24"/>
          <w:lang w:val="es-ES"/>
        </w:rPr>
        <w:t xml:space="preserve"> mucho más allá de la cuenca del río Atrato. El Cuerpo Colegiado de Guardianes ha desarrollado un modelo único, impulsado desde las propias comunidades, para proteger el </w:t>
      </w:r>
      <w:r>
        <w:rPr>
          <w:rFonts w:ascii="Aptos" w:eastAsia="Aptos" w:hAnsi="Aptos" w:cs="Aptos"/>
          <w:sz w:val="24"/>
          <w:lang w:val="es-ES"/>
        </w:rPr>
        <w:t>medio ambiente</w:t>
      </w:r>
      <w:r w:rsidRPr="00230E5A">
        <w:rPr>
          <w:rFonts w:ascii="Aptos" w:eastAsia="Aptos" w:hAnsi="Aptos" w:cs="Aptos"/>
          <w:sz w:val="24"/>
          <w:lang w:val="es-ES"/>
        </w:rPr>
        <w:t xml:space="preserve"> y los derechos humanos, que ha servido de inspiración para iniciativas similares tanto en Colombia como en otros lugares del mundo. Dado que se prevé que la demanda mundial de oro y otros minerales siga aumentando durante las próximas décadas, incrementando con ello la presión sobre las comunidades y los ecosistemas derivada de la explotación de los recursos naturales</w:t>
      </w:r>
      <w:r w:rsidRPr="00230E5A">
        <w:rPr>
          <w:rFonts w:ascii="Aptos" w:eastAsia="Aptos" w:hAnsi="Aptos" w:cs="Aptos"/>
          <w:sz w:val="22"/>
          <w:szCs w:val="22"/>
          <w:vertAlign w:val="superscript"/>
          <w:lang w:val="es-ES"/>
        </w:rPr>
        <w:footnoteReference w:id="5"/>
      </w:r>
      <w:r w:rsidRPr="00230E5A">
        <w:rPr>
          <w:rFonts w:ascii="Aptos" w:eastAsia="Aptos" w:hAnsi="Aptos" w:cs="Aptos"/>
          <w:sz w:val="24"/>
          <w:lang w:val="es-ES"/>
        </w:rPr>
        <w:t xml:space="preserve">, la labor de los Guardianes aporta valiosas </w:t>
      </w:r>
      <w:r>
        <w:rPr>
          <w:rFonts w:ascii="Aptos" w:eastAsia="Aptos" w:hAnsi="Aptos" w:cs="Aptos"/>
          <w:sz w:val="24"/>
          <w:lang w:val="es-ES"/>
        </w:rPr>
        <w:t>lecciones</w:t>
      </w:r>
      <w:r w:rsidRPr="00230E5A">
        <w:rPr>
          <w:rFonts w:ascii="Aptos" w:eastAsia="Aptos" w:hAnsi="Aptos" w:cs="Aptos"/>
          <w:sz w:val="24"/>
          <w:lang w:val="es-ES"/>
        </w:rPr>
        <w:t xml:space="preserve"> sobre cómo proteger el </w:t>
      </w:r>
      <w:r>
        <w:rPr>
          <w:rFonts w:ascii="Aptos" w:eastAsia="Aptos" w:hAnsi="Aptos" w:cs="Aptos"/>
          <w:sz w:val="24"/>
          <w:lang w:val="es-ES"/>
        </w:rPr>
        <w:t>medio ambiente</w:t>
      </w:r>
      <w:r w:rsidRPr="00230E5A">
        <w:rPr>
          <w:rFonts w:ascii="Aptos" w:eastAsia="Aptos" w:hAnsi="Aptos" w:cs="Aptos"/>
          <w:sz w:val="24"/>
          <w:lang w:val="es-ES"/>
        </w:rPr>
        <w:t xml:space="preserve"> y los derechos humanos.</w:t>
      </w:r>
    </w:p>
    <w:p w14:paraId="31862598" w14:textId="77777777" w:rsidR="00B31FE9" w:rsidRPr="00230E5A" w:rsidRDefault="00B31FE9" w:rsidP="00B31FE9">
      <w:pPr>
        <w:jc w:val="both"/>
        <w:rPr>
          <w:rFonts w:ascii="Aptos" w:eastAsia="Aptos" w:hAnsi="Aptos" w:cs="Aptos"/>
          <w:sz w:val="24"/>
          <w:lang w:val="es-ES"/>
        </w:rPr>
      </w:pPr>
    </w:p>
    <w:p w14:paraId="025D0C38" w14:textId="77777777" w:rsidR="00B31FE9" w:rsidRPr="00230E5A" w:rsidRDefault="00B31FE9" w:rsidP="00B31FE9">
      <w:pPr>
        <w:rPr>
          <w:rFonts w:ascii="Aptos" w:eastAsia="Aptos" w:hAnsi="Aptos" w:cs="Aptos"/>
          <w:b/>
          <w:bCs/>
          <w:sz w:val="24"/>
          <w:lang w:val="es-ES"/>
        </w:rPr>
      </w:pPr>
      <w:r w:rsidRPr="00230E5A">
        <w:rPr>
          <w:rFonts w:ascii="Aptos" w:eastAsia="Aptos" w:hAnsi="Aptos" w:cs="Aptos"/>
          <w:b/>
          <w:bCs/>
          <w:sz w:val="24"/>
          <w:lang w:val="es-ES"/>
        </w:rPr>
        <w:t xml:space="preserve">Grupos armados, violencia y economías ilegales </w:t>
      </w:r>
    </w:p>
    <w:p w14:paraId="46AA6535" w14:textId="77777777" w:rsidR="00B31FE9" w:rsidRDefault="00B31FE9" w:rsidP="00B31FE9">
      <w:pPr>
        <w:jc w:val="both"/>
        <w:rPr>
          <w:rFonts w:ascii="Aptos" w:eastAsia="Aptos" w:hAnsi="Aptos" w:cs="Aptos"/>
          <w:sz w:val="24"/>
          <w:lang w:val="es-ES"/>
        </w:rPr>
      </w:pPr>
      <w:r w:rsidRPr="00230E5A">
        <w:rPr>
          <w:rFonts w:ascii="Aptos" w:eastAsia="Aptos" w:hAnsi="Aptos" w:cs="Aptos"/>
          <w:sz w:val="24"/>
          <w:lang w:val="es-ES"/>
        </w:rPr>
        <w:t>En un país marcado por cinco décadas de conflicto armado, la lucha por la justicia ambiental es especialmente compleja. Desde la firma, en 2016, del histórico acuerdo de paz entre las Fuerzas Armadas Revolucionarias de Colombia (FARC) y el Gobierno, han surgido numerosos grupos armados vinculados a distintas economías ilegales, como el narcotráfico, el tráfico ilícito, la minería ilegal, la deforestación y la extorsión. Más de nueve millones de personas en Colombia viven en zonas controladas por grupos armado</w:t>
      </w:r>
      <w:r>
        <w:rPr>
          <w:rFonts w:ascii="Aptos" w:eastAsia="Aptos" w:hAnsi="Aptos" w:cs="Aptos"/>
          <w:sz w:val="24"/>
          <w:lang w:val="es-ES"/>
        </w:rPr>
        <w:t>s</w:t>
      </w:r>
      <w:r w:rsidRPr="00230E5A">
        <w:rPr>
          <w:rFonts w:ascii="Aptos" w:eastAsia="Aptos" w:hAnsi="Aptos" w:cs="Aptos"/>
          <w:sz w:val="22"/>
          <w:szCs w:val="22"/>
          <w:vertAlign w:val="superscript"/>
          <w:lang w:val="es-ES"/>
        </w:rPr>
        <w:footnoteReference w:id="6"/>
      </w:r>
      <w:r w:rsidRPr="00230E5A">
        <w:rPr>
          <w:rFonts w:ascii="Aptos" w:eastAsia="Aptos" w:hAnsi="Aptos" w:cs="Aptos"/>
          <w:sz w:val="24"/>
          <w:lang w:val="es-ES"/>
        </w:rPr>
        <w:t xml:space="preserve"> que ejercen un fuerte control sobre las comunidades</w:t>
      </w:r>
      <w:r w:rsidRPr="00230E5A">
        <w:rPr>
          <w:rFonts w:ascii="Aptos" w:eastAsia="Aptos" w:hAnsi="Aptos" w:cs="Aptos"/>
          <w:sz w:val="22"/>
          <w:szCs w:val="22"/>
          <w:vertAlign w:val="superscript"/>
          <w:lang w:val="es-ES"/>
        </w:rPr>
        <w:footnoteReference w:id="7"/>
      </w:r>
      <w:r w:rsidRPr="00230E5A">
        <w:rPr>
          <w:rFonts w:ascii="Aptos" w:eastAsia="Aptos" w:hAnsi="Aptos" w:cs="Aptos"/>
          <w:sz w:val="24"/>
          <w:lang w:val="es-ES"/>
        </w:rPr>
        <w:t xml:space="preserve">. La minería ilegal de oro es una de las actividades económicas ilícitas de mayor </w:t>
      </w:r>
      <w:r>
        <w:rPr>
          <w:rFonts w:ascii="Aptos" w:eastAsia="Aptos" w:hAnsi="Aptos" w:cs="Aptos"/>
          <w:sz w:val="24"/>
          <w:lang w:val="es-ES"/>
        </w:rPr>
        <w:t>magnitud</w:t>
      </w:r>
      <w:r w:rsidRPr="00230E5A">
        <w:rPr>
          <w:rFonts w:ascii="Aptos" w:eastAsia="Aptos" w:hAnsi="Aptos" w:cs="Aptos"/>
          <w:sz w:val="22"/>
          <w:szCs w:val="22"/>
          <w:vertAlign w:val="superscript"/>
          <w:lang w:val="es-ES"/>
        </w:rPr>
        <w:footnoteReference w:id="8"/>
      </w:r>
      <w:r w:rsidRPr="00230E5A">
        <w:rPr>
          <w:rFonts w:ascii="Aptos" w:eastAsia="Aptos" w:hAnsi="Aptos" w:cs="Aptos"/>
          <w:sz w:val="24"/>
          <w:lang w:val="es-ES"/>
        </w:rPr>
        <w:t xml:space="preserve">, crecimiento más rápido y mayor rentabilidad, y está especialmente extendida en toda </w:t>
      </w:r>
      <w:r>
        <w:rPr>
          <w:rFonts w:ascii="Aptos" w:eastAsia="Aptos" w:hAnsi="Aptos" w:cs="Aptos"/>
          <w:sz w:val="24"/>
          <w:lang w:val="es-ES"/>
        </w:rPr>
        <w:t>América del Sur</w:t>
      </w:r>
      <w:r w:rsidRPr="00230E5A">
        <w:rPr>
          <w:rFonts w:ascii="Aptos" w:eastAsia="Aptos" w:hAnsi="Aptos" w:cs="Aptos"/>
          <w:sz w:val="24"/>
          <w:lang w:val="es-ES"/>
        </w:rPr>
        <w:t>.</w:t>
      </w:r>
      <w:r>
        <w:rPr>
          <w:rFonts w:ascii="Aptos" w:eastAsia="Aptos" w:hAnsi="Aptos" w:cs="Aptos"/>
          <w:sz w:val="24"/>
          <w:lang w:val="es-ES"/>
        </w:rPr>
        <w:t xml:space="preserve"> </w:t>
      </w:r>
    </w:p>
    <w:p w14:paraId="2FCF0882" w14:textId="77777777" w:rsidR="00B31FE9" w:rsidRDefault="00B31FE9" w:rsidP="00B31FE9">
      <w:pPr>
        <w:jc w:val="both"/>
        <w:rPr>
          <w:rFonts w:ascii="Aptos" w:eastAsia="Aptos" w:hAnsi="Aptos" w:cs="Aptos"/>
          <w:sz w:val="24"/>
          <w:lang w:val="es-ES"/>
        </w:rPr>
      </w:pPr>
    </w:p>
    <w:p w14:paraId="1AAB4054" w14:textId="77777777" w:rsidR="00B31FE9" w:rsidRPr="00230E5A" w:rsidRDefault="00B31FE9" w:rsidP="00B31FE9">
      <w:pPr>
        <w:jc w:val="both"/>
        <w:rPr>
          <w:rFonts w:ascii="Aptos" w:eastAsia="Aptos" w:hAnsi="Aptos" w:cs="Aptos"/>
          <w:sz w:val="24"/>
          <w:lang w:val="es-ES"/>
        </w:rPr>
      </w:pPr>
    </w:p>
    <w:p w14:paraId="11F98A2F" w14:textId="77777777" w:rsidR="00B31FE9" w:rsidRDefault="00B31FE9" w:rsidP="00B31FE9">
      <w:pPr>
        <w:jc w:val="both"/>
        <w:rPr>
          <w:rFonts w:ascii="Aptos" w:eastAsia="Aptos" w:hAnsi="Aptos" w:cs="Aptos"/>
          <w:sz w:val="24"/>
          <w:lang w:val="es-ES"/>
        </w:rPr>
      </w:pPr>
      <w:r w:rsidRPr="00230E5A">
        <w:rPr>
          <w:rFonts w:ascii="Aptos" w:eastAsia="Aptos" w:hAnsi="Aptos" w:cs="Aptos"/>
          <w:sz w:val="24"/>
          <w:lang w:val="es-ES"/>
        </w:rPr>
        <w:lastRenderedPageBreak/>
        <w:t>Los grupos armados recurren a distintas estrategias para controlar a la población, entre ellas la violencia, la extorsión, las amenazas, el desplazamiento</w:t>
      </w:r>
      <w:r w:rsidRPr="00230E5A">
        <w:rPr>
          <w:rFonts w:ascii="Aptos" w:eastAsia="Aptos" w:hAnsi="Aptos" w:cs="Aptos"/>
          <w:sz w:val="22"/>
          <w:szCs w:val="22"/>
          <w:vertAlign w:val="superscript"/>
          <w:lang w:val="es-ES"/>
        </w:rPr>
        <w:footnoteReference w:id="9"/>
      </w:r>
      <w:r w:rsidRPr="00230E5A">
        <w:rPr>
          <w:rFonts w:ascii="Aptos" w:eastAsia="Aptos" w:hAnsi="Aptos" w:cs="Aptos"/>
          <w:sz w:val="24"/>
          <w:lang w:val="es-ES"/>
        </w:rPr>
        <w:t xml:space="preserve"> y el confinamiento forzado</w:t>
      </w:r>
      <w:r w:rsidRPr="00230E5A">
        <w:rPr>
          <w:rFonts w:ascii="Aptos" w:eastAsia="Aptos" w:hAnsi="Aptos" w:cs="Aptos"/>
          <w:sz w:val="22"/>
          <w:szCs w:val="22"/>
          <w:vertAlign w:val="superscript"/>
          <w:lang w:val="es-ES"/>
        </w:rPr>
        <w:footnoteReference w:id="10"/>
      </w:r>
      <w:r w:rsidRPr="00230E5A">
        <w:rPr>
          <w:rFonts w:ascii="Aptos" w:eastAsia="Aptos" w:hAnsi="Aptos" w:cs="Aptos"/>
          <w:sz w:val="24"/>
          <w:lang w:val="es-ES"/>
        </w:rPr>
        <w:t xml:space="preserve">. Durante estos periodos de confinamiento, el riesgo de sufrir violencia de género o de ser objeto de reclutamiento forzado por parte de estos grupos aumenta considerablemente, especialmente entre las mujeres y los niños. Human </w:t>
      </w:r>
      <w:proofErr w:type="spellStart"/>
      <w:r w:rsidRPr="00230E5A">
        <w:rPr>
          <w:rFonts w:ascii="Aptos" w:eastAsia="Aptos" w:hAnsi="Aptos" w:cs="Aptos"/>
          <w:sz w:val="24"/>
          <w:lang w:val="es-ES"/>
        </w:rPr>
        <w:t>Rights</w:t>
      </w:r>
      <w:proofErr w:type="spellEnd"/>
      <w:r w:rsidRPr="00230E5A">
        <w:rPr>
          <w:rFonts w:ascii="Aptos" w:eastAsia="Aptos" w:hAnsi="Aptos" w:cs="Aptos"/>
          <w:sz w:val="24"/>
          <w:lang w:val="es-ES"/>
        </w:rPr>
        <w:t xml:space="preserve"> Watch (HRW) señala además que los grupos armados obligan directamente a las comunidades a participar en sus actividades. Para ello, presionan a los habitantes para que talen árboles, promuevan cultivos de coca destinados a la producción de cocaína, extorsionan a agricultores y amenazan a quienes defienden sus tierras</w:t>
      </w:r>
      <w:r w:rsidRPr="00230E5A">
        <w:rPr>
          <w:rFonts w:ascii="Aptos" w:eastAsia="Aptos" w:hAnsi="Aptos" w:cs="Aptos"/>
          <w:sz w:val="22"/>
          <w:szCs w:val="22"/>
          <w:vertAlign w:val="superscript"/>
          <w:lang w:val="es-ES"/>
        </w:rPr>
        <w:footnoteReference w:id="11"/>
      </w:r>
      <w:r w:rsidRPr="00230E5A">
        <w:rPr>
          <w:rFonts w:ascii="Aptos" w:eastAsia="Aptos" w:hAnsi="Aptos" w:cs="Aptos"/>
          <w:sz w:val="24"/>
          <w:lang w:val="es-ES"/>
        </w:rPr>
        <w:t>.</w:t>
      </w:r>
      <w:r>
        <w:rPr>
          <w:rFonts w:ascii="Aptos" w:eastAsia="Aptos" w:hAnsi="Aptos" w:cs="Aptos"/>
          <w:sz w:val="24"/>
          <w:lang w:val="es-ES"/>
        </w:rPr>
        <w:t xml:space="preserve"> </w:t>
      </w:r>
    </w:p>
    <w:p w14:paraId="53CAFCFC" w14:textId="77777777" w:rsidR="00B31FE9" w:rsidRPr="00230E5A" w:rsidRDefault="00B31FE9" w:rsidP="00B31FE9">
      <w:pPr>
        <w:jc w:val="both"/>
        <w:rPr>
          <w:rFonts w:ascii="Aptos" w:eastAsia="Aptos" w:hAnsi="Aptos" w:cs="Aptos"/>
          <w:sz w:val="24"/>
          <w:lang w:val="es-ES"/>
        </w:rPr>
      </w:pPr>
    </w:p>
    <w:p w14:paraId="2D36F515" w14:textId="77777777" w:rsidR="00B31FE9" w:rsidRDefault="00B31FE9" w:rsidP="00B31FE9">
      <w:pPr>
        <w:rPr>
          <w:rFonts w:ascii="Aptos" w:eastAsia="Aptos" w:hAnsi="Aptos" w:cs="Aptos"/>
          <w:sz w:val="24"/>
          <w:lang w:val="es-ES"/>
        </w:rPr>
      </w:pPr>
      <w:r w:rsidRPr="00230E5A">
        <w:rPr>
          <w:rFonts w:ascii="Aptos" w:eastAsia="Aptos" w:hAnsi="Aptos" w:cs="Aptos"/>
          <w:i/>
          <w:iCs/>
          <w:sz w:val="24"/>
          <w:lang w:val="es-ES"/>
        </w:rPr>
        <w:t>«Colombia sigue siendo uno de los lugares más peligrosos del mundo para quienes defienden los derechos humanos», Volker Türk, Alto Comisionado de las Naciones Unidas para los Derechos Humanos</w:t>
      </w:r>
      <w:r w:rsidRPr="00230E5A">
        <w:rPr>
          <w:rFonts w:ascii="Aptos" w:eastAsia="Aptos" w:hAnsi="Aptos" w:cs="Aptos"/>
          <w:sz w:val="22"/>
          <w:szCs w:val="22"/>
          <w:vertAlign w:val="superscript"/>
          <w:lang w:val="es-ES"/>
        </w:rPr>
        <w:footnoteReference w:id="12"/>
      </w:r>
      <w:r w:rsidRPr="00230E5A">
        <w:rPr>
          <w:rFonts w:ascii="Aptos" w:eastAsia="Aptos" w:hAnsi="Aptos" w:cs="Aptos"/>
          <w:sz w:val="24"/>
          <w:lang w:val="es-ES"/>
        </w:rPr>
        <w:t>.</w:t>
      </w:r>
    </w:p>
    <w:p w14:paraId="2E577D2D" w14:textId="77777777" w:rsidR="00B31FE9" w:rsidRPr="00230E5A" w:rsidRDefault="00B31FE9" w:rsidP="00B31FE9">
      <w:pPr>
        <w:rPr>
          <w:rFonts w:ascii="Aptos" w:eastAsia="Aptos" w:hAnsi="Aptos" w:cs="Aptos"/>
          <w:sz w:val="24"/>
          <w:lang w:val="es-ES"/>
        </w:rPr>
      </w:pPr>
    </w:p>
    <w:p w14:paraId="3064EF76" w14:textId="77777777" w:rsidR="00B31FE9" w:rsidRDefault="00B31FE9" w:rsidP="00B31FE9">
      <w:pPr>
        <w:jc w:val="both"/>
        <w:rPr>
          <w:rFonts w:ascii="Aptos" w:eastAsia="Aptos" w:hAnsi="Aptos" w:cs="Aptos"/>
          <w:sz w:val="24"/>
          <w:lang w:val="es-ES"/>
        </w:rPr>
      </w:pPr>
      <w:r w:rsidRPr="00230E5A">
        <w:rPr>
          <w:rFonts w:ascii="Aptos" w:eastAsia="Aptos" w:hAnsi="Aptos" w:cs="Aptos"/>
          <w:sz w:val="24"/>
          <w:lang w:val="es-ES"/>
        </w:rPr>
        <w:t>En los últimos años se ha registrado un aumento de la violencia ejercida por grupos armados y redes criminales contra las personas defensoras de</w:t>
      </w:r>
      <w:r>
        <w:rPr>
          <w:rFonts w:ascii="Aptos" w:eastAsia="Aptos" w:hAnsi="Aptos" w:cs="Aptos"/>
          <w:sz w:val="24"/>
          <w:lang w:val="es-ES"/>
        </w:rPr>
        <w:t xml:space="preserve"> </w:t>
      </w:r>
      <w:r w:rsidRPr="00230E5A">
        <w:rPr>
          <w:rFonts w:ascii="Aptos" w:eastAsia="Aptos" w:hAnsi="Aptos" w:cs="Aptos"/>
          <w:sz w:val="24"/>
          <w:lang w:val="es-ES"/>
        </w:rPr>
        <w:t xml:space="preserve">derechos humanos. Desde 2016, al menos 1.500 </w:t>
      </w:r>
      <w:proofErr w:type="gramStart"/>
      <w:r w:rsidRPr="00230E5A">
        <w:rPr>
          <w:rFonts w:ascii="Aptos" w:eastAsia="Aptos" w:hAnsi="Aptos" w:cs="Aptos"/>
          <w:sz w:val="24"/>
          <w:lang w:val="es-ES"/>
        </w:rPr>
        <w:t>defensores y defensoras</w:t>
      </w:r>
      <w:proofErr w:type="gramEnd"/>
      <w:r w:rsidRPr="00230E5A">
        <w:rPr>
          <w:rFonts w:ascii="Aptos" w:eastAsia="Aptos" w:hAnsi="Aptos" w:cs="Aptos"/>
          <w:sz w:val="24"/>
          <w:lang w:val="es-ES"/>
        </w:rPr>
        <w:t xml:space="preserve"> de derechos humanos han sido asesinados</w:t>
      </w:r>
      <w:r w:rsidRPr="00230E5A">
        <w:rPr>
          <w:rFonts w:ascii="Aptos" w:eastAsia="Aptos" w:hAnsi="Aptos" w:cs="Aptos"/>
          <w:sz w:val="24"/>
          <w:vertAlign w:val="superscript"/>
          <w:lang w:val="es-ES"/>
        </w:rPr>
        <w:footnoteReference w:id="13"/>
      </w:r>
      <w:r w:rsidRPr="00230E5A">
        <w:rPr>
          <w:rFonts w:ascii="Aptos" w:eastAsia="Aptos" w:hAnsi="Aptos" w:cs="Aptos"/>
          <w:sz w:val="24"/>
          <w:lang w:val="es-ES"/>
        </w:rPr>
        <w:t xml:space="preserve"> </w:t>
      </w:r>
    </w:p>
    <w:p w14:paraId="143B5CF4" w14:textId="77777777" w:rsidR="00B31FE9" w:rsidRPr="00230E5A" w:rsidRDefault="00B31FE9" w:rsidP="00B31FE9">
      <w:pPr>
        <w:jc w:val="both"/>
        <w:rPr>
          <w:rFonts w:ascii="Aptos" w:eastAsia="Aptos" w:hAnsi="Aptos" w:cs="Aptos"/>
          <w:sz w:val="24"/>
          <w:lang w:val="es-ES"/>
        </w:rPr>
      </w:pPr>
    </w:p>
    <w:p w14:paraId="2B434AA0" w14:textId="77777777" w:rsidR="00B31FE9" w:rsidRDefault="00B31FE9" w:rsidP="00B31FE9">
      <w:pPr>
        <w:jc w:val="both"/>
        <w:rPr>
          <w:rFonts w:ascii="Aptos" w:eastAsia="Aptos" w:hAnsi="Aptos" w:cs="Aptos"/>
          <w:sz w:val="24"/>
          <w:lang w:val="es-ES"/>
        </w:rPr>
      </w:pPr>
      <w:r w:rsidRPr="00230E5A">
        <w:rPr>
          <w:rFonts w:ascii="Aptos" w:eastAsia="Aptos" w:hAnsi="Aptos" w:cs="Aptos"/>
          <w:sz w:val="24"/>
          <w:lang w:val="es-ES"/>
        </w:rPr>
        <w:t xml:space="preserve">Entre quienes se enfrentan a un mayor riesgo se encuentran los pueblos indígenas, las comunidades afrodescendientes y rurales, así como los líderes y defensores </w:t>
      </w:r>
      <w:r w:rsidRPr="00A24B63">
        <w:rPr>
          <w:rFonts w:ascii="Aptos" w:eastAsia="Aptos" w:hAnsi="Aptos" w:cs="Aptos"/>
          <w:sz w:val="24"/>
          <w:lang w:val="es-ES"/>
        </w:rPr>
        <w:t>del medio ambiente</w:t>
      </w:r>
      <w:r w:rsidRPr="00230E5A">
        <w:rPr>
          <w:rFonts w:ascii="Aptos" w:eastAsia="Aptos" w:hAnsi="Aptos" w:cs="Aptos"/>
          <w:sz w:val="24"/>
          <w:lang w:val="es-ES"/>
        </w:rPr>
        <w:t xml:space="preserve">. Según la ONG Global </w:t>
      </w:r>
      <w:proofErr w:type="spellStart"/>
      <w:r w:rsidRPr="00230E5A">
        <w:rPr>
          <w:rFonts w:ascii="Aptos" w:eastAsia="Aptos" w:hAnsi="Aptos" w:cs="Aptos"/>
          <w:sz w:val="24"/>
          <w:lang w:val="es-ES"/>
        </w:rPr>
        <w:t>Witness</w:t>
      </w:r>
      <w:proofErr w:type="spellEnd"/>
      <w:r w:rsidRPr="00230E5A">
        <w:rPr>
          <w:rFonts w:ascii="Aptos" w:eastAsia="Aptos" w:hAnsi="Aptos" w:cs="Aptos"/>
          <w:sz w:val="24"/>
          <w:lang w:val="es-ES"/>
        </w:rPr>
        <w:t xml:space="preserve">, en 2024 fueron asesinados 120 activistas ambientales en todo el mundo, 48 de ellos en Colombia, lo que convirtió al país en el más peligroso para quienes defienden el </w:t>
      </w:r>
      <w:r>
        <w:rPr>
          <w:rFonts w:ascii="Aptos" w:eastAsia="Aptos" w:hAnsi="Aptos" w:cs="Aptos"/>
          <w:sz w:val="24"/>
          <w:lang w:val="es-ES"/>
        </w:rPr>
        <w:t>medio ambiente</w:t>
      </w:r>
      <w:r w:rsidRPr="00230E5A">
        <w:rPr>
          <w:rFonts w:ascii="Aptos" w:eastAsia="Aptos" w:hAnsi="Aptos" w:cs="Aptos"/>
          <w:sz w:val="24"/>
          <w:vertAlign w:val="superscript"/>
          <w:lang w:val="es-ES"/>
        </w:rPr>
        <w:footnoteReference w:id="14"/>
      </w:r>
      <w:r w:rsidRPr="00230E5A">
        <w:rPr>
          <w:rFonts w:ascii="Aptos" w:eastAsia="Aptos" w:hAnsi="Aptos" w:cs="Aptos"/>
          <w:sz w:val="24"/>
          <w:lang w:val="es-ES"/>
        </w:rPr>
        <w:t xml:space="preserve">. </w:t>
      </w:r>
    </w:p>
    <w:p w14:paraId="2545C431" w14:textId="77777777" w:rsidR="00B31FE9" w:rsidRPr="00230E5A" w:rsidRDefault="00B31FE9" w:rsidP="00B31FE9">
      <w:pPr>
        <w:jc w:val="both"/>
        <w:rPr>
          <w:rFonts w:ascii="Aptos" w:eastAsia="Aptos" w:hAnsi="Aptos" w:cs="Aptos"/>
          <w:sz w:val="24"/>
          <w:lang w:val="es-ES"/>
        </w:rPr>
      </w:pPr>
    </w:p>
    <w:p w14:paraId="4F929DE9" w14:textId="77777777" w:rsidR="00B31FE9" w:rsidRPr="00230E5A" w:rsidRDefault="00B31FE9" w:rsidP="00B31FE9">
      <w:pPr>
        <w:jc w:val="both"/>
        <w:rPr>
          <w:rFonts w:ascii="Aptos" w:eastAsia="Aptos" w:hAnsi="Aptos" w:cs="Aptos"/>
          <w:sz w:val="24"/>
          <w:lang w:val="es-ES"/>
        </w:rPr>
      </w:pPr>
      <w:r w:rsidRPr="00230E5A">
        <w:rPr>
          <w:rFonts w:ascii="Aptos" w:eastAsia="Aptos" w:hAnsi="Aptos" w:cs="Aptos"/>
          <w:sz w:val="24"/>
          <w:lang w:val="es-ES"/>
        </w:rPr>
        <w:t>La violencia ejercida por los grupos armados afecta de manera desproporcionada a los pueblos indígenas y afrodescendientes, así como a sus consejos comunitarios y líderes. Estos grupos buscan debilitar el tejido social, someter a las organizaciones locales y eliminar aquellas que cuentan con una presencia histórica en los territorios</w:t>
      </w:r>
      <w:r w:rsidRPr="00230E5A">
        <w:rPr>
          <w:rFonts w:ascii="Aptos" w:eastAsia="Aptos" w:hAnsi="Aptos" w:cs="Aptos"/>
          <w:sz w:val="22"/>
          <w:szCs w:val="22"/>
          <w:vertAlign w:val="superscript"/>
          <w:lang w:val="es-ES"/>
        </w:rPr>
        <w:footnoteReference w:id="15"/>
      </w:r>
      <w:r w:rsidRPr="00230E5A">
        <w:rPr>
          <w:rFonts w:ascii="Aptos" w:eastAsia="Aptos" w:hAnsi="Aptos" w:cs="Aptos"/>
          <w:sz w:val="24"/>
          <w:lang w:val="es-ES"/>
        </w:rPr>
        <w:t xml:space="preserve">. El Alto Comisionado de las Naciones Unidas para los </w:t>
      </w:r>
      <w:r w:rsidRPr="00230E5A">
        <w:rPr>
          <w:rFonts w:ascii="Aptos" w:eastAsia="Aptos" w:hAnsi="Aptos" w:cs="Aptos"/>
          <w:sz w:val="24"/>
          <w:lang w:val="es-ES"/>
        </w:rPr>
        <w:lastRenderedPageBreak/>
        <w:t>Derechos Humanos en Colombia</w:t>
      </w:r>
      <w:r w:rsidRPr="00230E5A">
        <w:rPr>
          <w:rFonts w:ascii="Aptos" w:eastAsia="Aptos" w:hAnsi="Aptos" w:cs="Aptos"/>
          <w:sz w:val="24"/>
          <w:vertAlign w:val="superscript"/>
          <w:lang w:val="es-ES"/>
        </w:rPr>
        <w:footnoteReference w:id="16"/>
      </w:r>
      <w:r w:rsidRPr="00230E5A">
        <w:rPr>
          <w:rFonts w:ascii="Aptos" w:eastAsia="Aptos" w:hAnsi="Aptos" w:cs="Aptos"/>
          <w:sz w:val="24"/>
          <w:lang w:val="es-ES"/>
        </w:rPr>
        <w:t xml:space="preserve"> ha advertido de que varias comunidades indígenas del país se enfrentan al riesgo de una «extinción física y cultural» como consecuencia de la violencia ejercida por los grupos armados.</w:t>
      </w:r>
    </w:p>
    <w:p w14:paraId="46C0DFEA" w14:textId="77777777" w:rsidR="00B31FE9" w:rsidRPr="00230E5A" w:rsidRDefault="00B31FE9" w:rsidP="00B31FE9">
      <w:pPr>
        <w:jc w:val="both"/>
        <w:rPr>
          <w:rFonts w:ascii="Aptos" w:eastAsia="Aptos" w:hAnsi="Aptos" w:cs="Aptos"/>
          <w:sz w:val="24"/>
          <w:lang w:val="es-ES"/>
        </w:rPr>
      </w:pPr>
    </w:p>
    <w:p w14:paraId="705AFFE7" w14:textId="77777777" w:rsidR="00B31FE9" w:rsidRPr="00230E5A" w:rsidRDefault="00B31FE9" w:rsidP="00B31FE9">
      <w:pPr>
        <w:spacing w:before="240" w:after="240"/>
        <w:rPr>
          <w:rFonts w:ascii="Aptos" w:eastAsia="Aptos" w:hAnsi="Aptos" w:cs="Aptos"/>
          <w:b/>
          <w:bCs/>
          <w:sz w:val="24"/>
          <w:lang w:val="es-ES"/>
        </w:rPr>
      </w:pPr>
      <w:r w:rsidRPr="00230E5A">
        <w:rPr>
          <w:rFonts w:ascii="Aptos" w:eastAsia="Aptos" w:hAnsi="Aptos" w:cs="Aptos"/>
          <w:b/>
          <w:bCs/>
          <w:sz w:val="24"/>
          <w:lang w:val="es-ES"/>
        </w:rPr>
        <w:t xml:space="preserve">Proteger el </w:t>
      </w:r>
      <w:r>
        <w:rPr>
          <w:rFonts w:ascii="Aptos" w:eastAsia="Aptos" w:hAnsi="Aptos" w:cs="Aptos"/>
          <w:b/>
          <w:bCs/>
          <w:sz w:val="24"/>
          <w:lang w:val="es-ES"/>
        </w:rPr>
        <w:t>medio ambiente</w:t>
      </w:r>
      <w:r w:rsidRPr="00230E5A">
        <w:rPr>
          <w:rFonts w:ascii="Aptos" w:eastAsia="Aptos" w:hAnsi="Aptos" w:cs="Aptos"/>
          <w:b/>
          <w:bCs/>
          <w:sz w:val="24"/>
          <w:lang w:val="es-ES"/>
        </w:rPr>
        <w:t xml:space="preserve"> y garantizar los derechos humanos</w:t>
      </w:r>
    </w:p>
    <w:p w14:paraId="6E183055" w14:textId="77777777" w:rsidR="00B31FE9" w:rsidRDefault="00B31FE9" w:rsidP="00B31FE9">
      <w:pPr>
        <w:jc w:val="both"/>
        <w:rPr>
          <w:rFonts w:ascii="Aptos" w:eastAsia="Aptos" w:hAnsi="Aptos" w:cs="Aptos"/>
          <w:sz w:val="24"/>
          <w:lang w:val="es-ES"/>
        </w:rPr>
      </w:pPr>
      <w:r w:rsidRPr="00230E5A">
        <w:rPr>
          <w:rFonts w:ascii="Aptos" w:eastAsia="Aptos" w:hAnsi="Aptos" w:cs="Aptos"/>
          <w:i/>
          <w:iCs/>
          <w:sz w:val="24"/>
          <w:lang w:val="es-ES"/>
        </w:rPr>
        <w:t xml:space="preserve">«El </w:t>
      </w:r>
      <w:r>
        <w:rPr>
          <w:rFonts w:ascii="Aptos" w:eastAsia="Aptos" w:hAnsi="Aptos" w:cs="Aptos"/>
          <w:i/>
          <w:iCs/>
          <w:sz w:val="24"/>
          <w:lang w:val="es-ES"/>
        </w:rPr>
        <w:t>medio ambiente</w:t>
      </w:r>
      <w:r w:rsidRPr="00230E5A">
        <w:rPr>
          <w:rFonts w:ascii="Aptos" w:eastAsia="Aptos" w:hAnsi="Aptos" w:cs="Aptos"/>
          <w:i/>
          <w:iCs/>
          <w:sz w:val="24"/>
          <w:lang w:val="es-ES"/>
        </w:rPr>
        <w:t xml:space="preserve"> es la base de la vida humana, y de él dependen la salud y el bienestar de las generaciones presentes y futuras», </w:t>
      </w:r>
      <w:r>
        <w:rPr>
          <w:rFonts w:ascii="Aptos" w:eastAsia="Aptos" w:hAnsi="Aptos" w:cs="Aptos"/>
          <w:i/>
          <w:iCs/>
          <w:sz w:val="24"/>
          <w:lang w:val="es-ES"/>
        </w:rPr>
        <w:t xml:space="preserve">señaló </w:t>
      </w:r>
      <w:r w:rsidRPr="00230E5A">
        <w:rPr>
          <w:rFonts w:ascii="Aptos" w:eastAsia="Aptos" w:hAnsi="Aptos" w:cs="Aptos"/>
          <w:i/>
          <w:iCs/>
          <w:sz w:val="24"/>
          <w:lang w:val="es-ES"/>
        </w:rPr>
        <w:t>la Corte Internacional de Justicia</w:t>
      </w:r>
      <w:r w:rsidRPr="00230E5A">
        <w:rPr>
          <w:rFonts w:ascii="Aptos" w:eastAsia="Aptos" w:hAnsi="Aptos" w:cs="Aptos"/>
          <w:sz w:val="22"/>
          <w:szCs w:val="22"/>
          <w:vertAlign w:val="superscript"/>
          <w:lang w:val="es-ES"/>
        </w:rPr>
        <w:footnoteReference w:id="17"/>
      </w:r>
      <w:r w:rsidRPr="00230E5A">
        <w:rPr>
          <w:rFonts w:ascii="Aptos" w:eastAsia="Aptos" w:hAnsi="Aptos" w:cs="Aptos"/>
          <w:sz w:val="24"/>
          <w:lang w:val="es-ES"/>
        </w:rPr>
        <w:t xml:space="preserve">. En otras palabras, proteger la naturaleza es una condición indispensable para garantizar el pleno disfrute de los derechos humanos. </w:t>
      </w:r>
    </w:p>
    <w:p w14:paraId="72365682" w14:textId="77777777" w:rsidR="00B31FE9" w:rsidRPr="00230E5A" w:rsidRDefault="00B31FE9" w:rsidP="00B31FE9">
      <w:pPr>
        <w:jc w:val="both"/>
        <w:rPr>
          <w:rFonts w:ascii="Aptos" w:eastAsia="Aptos" w:hAnsi="Aptos" w:cs="Aptos"/>
          <w:sz w:val="24"/>
          <w:lang w:val="es-ES"/>
        </w:rPr>
      </w:pPr>
    </w:p>
    <w:p w14:paraId="310330FB" w14:textId="77777777" w:rsidR="00B31FE9" w:rsidRDefault="00B31FE9" w:rsidP="00B31FE9">
      <w:pPr>
        <w:jc w:val="both"/>
        <w:rPr>
          <w:rFonts w:ascii="Aptos" w:eastAsia="Aptos" w:hAnsi="Aptos" w:cs="Aptos"/>
          <w:sz w:val="24"/>
          <w:lang w:val="es-ES"/>
        </w:rPr>
      </w:pPr>
      <w:r w:rsidRPr="00230E5A">
        <w:rPr>
          <w:rFonts w:ascii="Aptos" w:eastAsia="Aptos" w:hAnsi="Aptos" w:cs="Aptos"/>
          <w:sz w:val="24"/>
          <w:lang w:val="es-ES"/>
        </w:rPr>
        <w:t xml:space="preserve">La concesión del Premio </w:t>
      </w:r>
      <w:proofErr w:type="spellStart"/>
      <w:r w:rsidRPr="00230E5A">
        <w:rPr>
          <w:rFonts w:ascii="Aptos" w:eastAsia="Aptos" w:hAnsi="Aptos" w:cs="Aptos"/>
          <w:sz w:val="24"/>
          <w:lang w:val="es-ES"/>
        </w:rPr>
        <w:t>Rafto</w:t>
      </w:r>
      <w:proofErr w:type="spellEnd"/>
      <w:r w:rsidRPr="00230E5A">
        <w:rPr>
          <w:rFonts w:ascii="Aptos" w:eastAsia="Aptos" w:hAnsi="Aptos" w:cs="Aptos"/>
          <w:sz w:val="24"/>
          <w:lang w:val="es-ES"/>
        </w:rPr>
        <w:t xml:space="preserve"> de 2026 al Cuerpo Colegiado de Guardianes del Río Atrato reconoce y </w:t>
      </w:r>
      <w:r>
        <w:rPr>
          <w:rFonts w:ascii="Aptos" w:eastAsia="Aptos" w:hAnsi="Aptos" w:cs="Aptos"/>
          <w:sz w:val="24"/>
          <w:lang w:val="es-ES"/>
        </w:rPr>
        <w:t>destaca</w:t>
      </w:r>
      <w:r w:rsidRPr="00230E5A">
        <w:rPr>
          <w:rFonts w:ascii="Aptos" w:eastAsia="Aptos" w:hAnsi="Aptos" w:cs="Aptos"/>
          <w:sz w:val="24"/>
          <w:lang w:val="es-ES"/>
        </w:rPr>
        <w:t xml:space="preserve"> la valiente lucha de estos representantes de la comunidad por la justicia medioambiental y la defensa de derechos humanos fundamentales. </w:t>
      </w:r>
    </w:p>
    <w:p w14:paraId="37BEC303" w14:textId="77777777" w:rsidR="00B31FE9" w:rsidRPr="00230E5A" w:rsidRDefault="00B31FE9" w:rsidP="00B31FE9">
      <w:pPr>
        <w:jc w:val="both"/>
        <w:rPr>
          <w:rFonts w:ascii="Aptos" w:eastAsia="Aptos" w:hAnsi="Aptos" w:cs="Aptos"/>
          <w:sz w:val="24"/>
          <w:lang w:val="es-ES"/>
        </w:rPr>
      </w:pPr>
    </w:p>
    <w:p w14:paraId="627AC9A6" w14:textId="77777777" w:rsidR="00B31FE9" w:rsidRDefault="00B31FE9" w:rsidP="00B31FE9">
      <w:pPr>
        <w:jc w:val="both"/>
        <w:rPr>
          <w:rFonts w:ascii="Aptos" w:eastAsia="Aptos" w:hAnsi="Aptos" w:cs="Aptos"/>
          <w:sz w:val="24"/>
          <w:lang w:val="es-ES"/>
        </w:rPr>
      </w:pPr>
      <w:r w:rsidRPr="00230E5A">
        <w:rPr>
          <w:rFonts w:ascii="Aptos" w:eastAsia="Aptos" w:hAnsi="Aptos" w:cs="Aptos"/>
          <w:sz w:val="24"/>
          <w:lang w:val="es-ES"/>
        </w:rPr>
        <w:t xml:space="preserve">De hecho, en un momento en el que el mundo se enfrenta a crisis ambientales de una magnitud sin precedentes, las autoridades y la comunidad internacional siguen buscando formas eficaces de responder a la destrucción de ecosistemas esenciales para la supervivencia de las comunidades. </w:t>
      </w:r>
    </w:p>
    <w:p w14:paraId="7FE01512" w14:textId="77777777" w:rsidR="00B31FE9" w:rsidRPr="00230E5A" w:rsidRDefault="00B31FE9" w:rsidP="00B31FE9">
      <w:pPr>
        <w:jc w:val="both"/>
        <w:rPr>
          <w:rFonts w:ascii="Aptos" w:eastAsia="Aptos" w:hAnsi="Aptos" w:cs="Aptos"/>
          <w:sz w:val="24"/>
          <w:lang w:val="es-ES"/>
        </w:rPr>
      </w:pPr>
    </w:p>
    <w:p w14:paraId="1B96D58D" w14:textId="77777777" w:rsidR="00B31FE9" w:rsidRPr="00230E5A" w:rsidRDefault="00B31FE9" w:rsidP="00B31FE9">
      <w:pPr>
        <w:jc w:val="both"/>
        <w:rPr>
          <w:rFonts w:ascii="Aptos" w:eastAsia="Aptos" w:hAnsi="Aptos" w:cs="Aptos"/>
          <w:sz w:val="24"/>
          <w:lang w:val="es-ES"/>
        </w:rPr>
      </w:pPr>
      <w:r w:rsidRPr="00230E5A">
        <w:rPr>
          <w:rFonts w:ascii="Aptos" w:eastAsia="Aptos" w:hAnsi="Aptos" w:cs="Aptos"/>
          <w:sz w:val="24"/>
          <w:lang w:val="es-ES"/>
        </w:rPr>
        <w:t>La sentencia sobre el río Atrato supuso una importante innovación jurídica y ha contribuido a transformar la manera de entender la relación entre los derechos humanos y los derechos de la naturaleza</w:t>
      </w:r>
      <w:r w:rsidRPr="00230E5A">
        <w:rPr>
          <w:rFonts w:ascii="Aptos" w:eastAsia="Aptos" w:hAnsi="Aptos" w:cs="Aptos"/>
          <w:sz w:val="22"/>
          <w:szCs w:val="22"/>
          <w:vertAlign w:val="superscript"/>
          <w:lang w:val="es-ES"/>
        </w:rPr>
        <w:footnoteReference w:id="18"/>
      </w:r>
      <w:r w:rsidRPr="00230E5A">
        <w:rPr>
          <w:rFonts w:ascii="Aptos" w:eastAsia="Aptos" w:hAnsi="Aptos" w:cs="Aptos"/>
          <w:sz w:val="24"/>
          <w:lang w:val="es-ES"/>
        </w:rPr>
        <w:t xml:space="preserve">. Sin embargo, todo principio necesita de personas que lo defiendan. A través de su labor, los Guardianes trabajan para convertir en realidad los objetivos y principios </w:t>
      </w:r>
      <w:r>
        <w:rPr>
          <w:rFonts w:ascii="Aptos" w:eastAsia="Aptos" w:hAnsi="Aptos" w:cs="Aptos"/>
          <w:sz w:val="24"/>
          <w:lang w:val="es-ES"/>
        </w:rPr>
        <w:t>establecidos</w:t>
      </w:r>
      <w:r w:rsidRPr="00230E5A">
        <w:rPr>
          <w:rFonts w:ascii="Aptos" w:eastAsia="Aptos" w:hAnsi="Aptos" w:cs="Aptos"/>
          <w:sz w:val="24"/>
          <w:lang w:val="es-ES"/>
        </w:rPr>
        <w:t xml:space="preserve"> en la ley. </w:t>
      </w:r>
    </w:p>
    <w:p w14:paraId="048B3973" w14:textId="77777777" w:rsidR="00B31FE9" w:rsidRPr="00230E5A" w:rsidRDefault="00B31FE9" w:rsidP="00B31FE9">
      <w:pPr>
        <w:spacing w:before="240" w:after="240"/>
        <w:rPr>
          <w:rFonts w:ascii="Aptos" w:eastAsia="Aptos" w:hAnsi="Aptos" w:cs="Aptos"/>
          <w:sz w:val="24"/>
          <w:lang w:val="es-ES"/>
        </w:rPr>
      </w:pPr>
      <w:r w:rsidRPr="00230E5A">
        <w:rPr>
          <w:rFonts w:ascii="Aptos" w:eastAsia="Aptos" w:hAnsi="Aptos" w:cs="Aptos"/>
          <w:sz w:val="24"/>
          <w:lang w:val="es-ES"/>
        </w:rPr>
        <w:t>Pedimos a las autoridades colombianas que garanticen el cumplimiento de la sentencia sobre el río Atrato, protejan el río y su entorno, y velen por los derechos humanos de las comunidades afectadas.</w:t>
      </w:r>
    </w:p>
    <w:p w14:paraId="6C279F3B" w14:textId="77777777" w:rsidR="00B31FE9" w:rsidRPr="00230E5A" w:rsidRDefault="00B31FE9" w:rsidP="00B31FE9">
      <w:pPr>
        <w:rPr>
          <w:rFonts w:ascii="Aptos" w:eastAsia="Aptos" w:hAnsi="Aptos" w:cs="Aptos"/>
          <w:sz w:val="24"/>
          <w:lang w:val="es-ES"/>
        </w:rPr>
      </w:pPr>
      <w:r w:rsidRPr="00230E5A">
        <w:rPr>
          <w:rFonts w:ascii="Aptos" w:eastAsia="Aptos" w:hAnsi="Aptos" w:cs="Aptos"/>
          <w:sz w:val="24"/>
          <w:lang w:val="es-ES"/>
        </w:rPr>
        <w:t xml:space="preserve">Pedimos a la comunidad internacional que </w:t>
      </w:r>
      <w:r>
        <w:rPr>
          <w:rFonts w:ascii="Aptos" w:eastAsia="Aptos" w:hAnsi="Aptos" w:cs="Aptos"/>
          <w:sz w:val="24"/>
          <w:lang w:val="es-ES"/>
        </w:rPr>
        <w:t>promueva</w:t>
      </w:r>
      <w:r w:rsidRPr="00230E5A">
        <w:rPr>
          <w:rFonts w:ascii="Aptos" w:eastAsia="Aptos" w:hAnsi="Aptos" w:cs="Aptos"/>
          <w:sz w:val="24"/>
          <w:lang w:val="es-ES"/>
        </w:rPr>
        <w:t xml:space="preserve"> normas y sistemas de trazabilidad más eficaces para los recursos extraídos ilegalmente y que garantice la rendición de cuentas por la explotación criminal del </w:t>
      </w:r>
      <w:r>
        <w:rPr>
          <w:rFonts w:ascii="Aptos" w:eastAsia="Aptos" w:hAnsi="Aptos" w:cs="Aptos"/>
          <w:sz w:val="24"/>
          <w:lang w:val="es-ES"/>
        </w:rPr>
        <w:t>medio ambiente</w:t>
      </w:r>
      <w:r w:rsidRPr="00230E5A">
        <w:rPr>
          <w:rFonts w:ascii="Aptos" w:eastAsia="Aptos" w:hAnsi="Aptos" w:cs="Aptos"/>
          <w:sz w:val="24"/>
          <w:lang w:val="es-ES"/>
        </w:rPr>
        <w:t xml:space="preserve">. </w:t>
      </w:r>
    </w:p>
    <w:p w14:paraId="47148BF3" w14:textId="77777777" w:rsidR="00B31FE9" w:rsidRPr="00230E5A" w:rsidRDefault="00B31FE9" w:rsidP="00B31FE9">
      <w:pPr>
        <w:rPr>
          <w:rFonts w:ascii="Aptos" w:eastAsia="Aptos" w:hAnsi="Aptos" w:cs="Aptos"/>
          <w:sz w:val="24"/>
          <w:lang w:val="es-ES"/>
        </w:rPr>
      </w:pPr>
      <w:r w:rsidRPr="00230E5A">
        <w:rPr>
          <w:rFonts w:ascii="Aptos" w:eastAsia="Aptos" w:hAnsi="Aptos" w:cs="Aptos"/>
          <w:sz w:val="24"/>
          <w:lang w:val="es-ES"/>
        </w:rPr>
        <w:lastRenderedPageBreak/>
        <w:t xml:space="preserve">Pedimos a las empresas vinculadas a la extracción de recursos que actúen con transparencia respecto a sus cadenas de suministro y garanticen que las materias primas </w:t>
      </w:r>
      <w:r>
        <w:rPr>
          <w:rFonts w:ascii="Aptos" w:eastAsia="Aptos" w:hAnsi="Aptos" w:cs="Aptos"/>
          <w:sz w:val="24"/>
          <w:lang w:val="es-ES"/>
        </w:rPr>
        <w:t>provengan</w:t>
      </w:r>
      <w:r w:rsidRPr="00230E5A">
        <w:rPr>
          <w:rFonts w:ascii="Aptos" w:eastAsia="Aptos" w:hAnsi="Aptos" w:cs="Aptos"/>
          <w:sz w:val="24"/>
          <w:lang w:val="es-ES"/>
        </w:rPr>
        <w:t xml:space="preserve"> de explotaciones mineras legales y gestionadas de forma responsable. </w:t>
      </w:r>
    </w:p>
    <w:p w14:paraId="7A49CA4E" w14:textId="77777777" w:rsidR="00B31FE9" w:rsidRPr="00230E5A" w:rsidRDefault="00B31FE9" w:rsidP="00B31FE9">
      <w:pPr>
        <w:rPr>
          <w:rFonts w:ascii="Aptos" w:eastAsia="Aptos" w:hAnsi="Aptos" w:cs="Aptos"/>
          <w:sz w:val="24"/>
          <w:lang w:val="es-ES"/>
        </w:rPr>
      </w:pPr>
      <w:r w:rsidRPr="00230E5A">
        <w:rPr>
          <w:rFonts w:ascii="Aptos" w:eastAsia="Aptos" w:hAnsi="Aptos" w:cs="Aptos"/>
          <w:sz w:val="24"/>
          <w:lang w:val="es-ES"/>
        </w:rPr>
        <w:t xml:space="preserve">Pedimos que se protejan los ecosistemas más vulnerables, se promueva una gestión responsable de los recursos naturales y se garanticen los derechos humanos de las </w:t>
      </w:r>
      <w:r>
        <w:rPr>
          <w:rFonts w:ascii="Aptos" w:eastAsia="Aptos" w:hAnsi="Aptos" w:cs="Aptos"/>
          <w:sz w:val="24"/>
          <w:lang w:val="es-ES"/>
        </w:rPr>
        <w:t>comunidades que viven</w:t>
      </w:r>
      <w:r w:rsidRPr="00230E5A">
        <w:rPr>
          <w:rFonts w:ascii="Aptos" w:eastAsia="Aptos" w:hAnsi="Aptos" w:cs="Aptos"/>
          <w:sz w:val="24"/>
          <w:lang w:val="es-ES"/>
        </w:rPr>
        <w:t xml:space="preserve"> en las zonas más expuestas. </w:t>
      </w:r>
    </w:p>
    <w:p w14:paraId="1C96B770" w14:textId="77777777" w:rsidR="00B31FE9" w:rsidRPr="00B31FE9" w:rsidRDefault="00B31FE9" w:rsidP="007E5AFB">
      <w:pPr>
        <w:pStyle w:val="Brdtekst"/>
        <w:rPr>
          <w:lang w:val="es-ES"/>
        </w:rPr>
      </w:pPr>
    </w:p>
    <w:sectPr w:rsidR="00B31FE9" w:rsidRPr="00B31FE9" w:rsidSect="0099603D">
      <w:footerReference w:type="default" r:id="rId10"/>
      <w:headerReference w:type="first" r:id="rId11"/>
      <w:footerReference w:type="first" r:id="rId12"/>
      <w:pgSz w:w="11906" w:h="16838" w:code="9"/>
      <w:pgMar w:top="2920" w:right="1644" w:bottom="1956"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7052" w14:textId="77777777" w:rsidR="005521EF" w:rsidRDefault="005521EF" w:rsidP="0080621E">
      <w:r>
        <w:separator/>
      </w:r>
    </w:p>
  </w:endnote>
  <w:endnote w:type="continuationSeparator" w:id="0">
    <w:p w14:paraId="19D1FEB9" w14:textId="77777777" w:rsidR="005521EF" w:rsidRDefault="005521EF" w:rsidP="00806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1245" w14:textId="77777777" w:rsidR="0099603D" w:rsidRDefault="0099603D">
    <w:pPr>
      <w:pStyle w:val="Bunntekst"/>
    </w:pPr>
    <w:r w:rsidRPr="006B54EF">
      <w:rPr>
        <w:noProof/>
        <w:lang w:val="nb-NO" w:eastAsia="nb-NO"/>
      </w:rPr>
      <w:drawing>
        <wp:anchor distT="0" distB="0" distL="114300" distR="114300" simplePos="0" relativeHeight="251661312" behindDoc="1" locked="0" layoutInCell="1" allowOverlap="1" wp14:anchorId="1365025D" wp14:editId="251861D5">
          <wp:simplePos x="0" y="0"/>
          <wp:positionH relativeFrom="page">
            <wp:align>right</wp:align>
          </wp:positionH>
          <wp:positionV relativeFrom="page">
            <wp:align>bottom</wp:align>
          </wp:positionV>
          <wp:extent cx="2258695" cy="2162175"/>
          <wp:effectExtent l="19050" t="0" r="8255" b="0"/>
          <wp:wrapNone/>
          <wp:docPr id="4" name="Bilde 2" descr="fingeravtry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geravtrykk.png"/>
                  <pic:cNvPicPr/>
                </pic:nvPicPr>
                <pic:blipFill>
                  <a:blip r:embed="rId1"/>
                  <a:stretch>
                    <a:fillRect/>
                  </a:stretch>
                </pic:blipFill>
                <pic:spPr>
                  <a:xfrm>
                    <a:off x="0" y="0"/>
                    <a:ext cx="2258695" cy="21621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AD8F" w14:textId="77777777" w:rsidR="0099603D" w:rsidRDefault="0099603D" w:rsidP="00B3081C">
    <w:pPr>
      <w:pStyle w:val="Bunntekst"/>
      <w:tabs>
        <w:tab w:val="left" w:pos="2460"/>
      </w:tabs>
    </w:pPr>
    <w:r>
      <w:rPr>
        <w:noProof/>
        <w:lang w:val="nb-NO" w:eastAsia="nb-NO"/>
      </w:rPr>
      <w:drawing>
        <wp:anchor distT="0" distB="0" distL="114300" distR="114300" simplePos="0" relativeHeight="251657215" behindDoc="1" locked="0" layoutInCell="1" allowOverlap="1" wp14:anchorId="63EB8247" wp14:editId="5CF1B8E8">
          <wp:simplePos x="0" y="0"/>
          <wp:positionH relativeFrom="page">
            <wp:align>right</wp:align>
          </wp:positionH>
          <wp:positionV relativeFrom="page">
            <wp:align>bottom</wp:align>
          </wp:positionV>
          <wp:extent cx="2258695" cy="2162175"/>
          <wp:effectExtent l="19050" t="0" r="8255" b="0"/>
          <wp:wrapNone/>
          <wp:docPr id="3" name="Bilde 2" descr="fingeravtry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geravtrykk.png"/>
                  <pic:cNvPicPr/>
                </pic:nvPicPr>
                <pic:blipFill>
                  <a:blip r:embed="rId1"/>
                  <a:stretch>
                    <a:fillRect/>
                  </a:stretch>
                </pic:blipFill>
                <pic:spPr>
                  <a:xfrm>
                    <a:off x="0" y="0"/>
                    <a:ext cx="2258695" cy="2162175"/>
                  </a:xfrm>
                  <a:prstGeom prst="rect">
                    <a:avLst/>
                  </a:prstGeom>
                </pic:spPr>
              </pic:pic>
            </a:graphicData>
          </a:graphic>
        </wp:anchor>
      </w:drawing>
    </w:r>
    <w:r w:rsidR="00197EA7">
      <w:rPr>
        <w:noProof/>
        <w:lang w:val="nb-NO" w:eastAsia="nb-NO"/>
      </w:rPr>
      <w:drawing>
        <wp:anchor distT="0" distB="0" distL="114300" distR="114300" simplePos="0" relativeHeight="251666432" behindDoc="1" locked="0" layoutInCell="1" allowOverlap="1" wp14:anchorId="404F7153" wp14:editId="42BB5D36">
          <wp:simplePos x="0" y="0"/>
          <wp:positionH relativeFrom="page">
            <wp:posOffset>0</wp:posOffset>
          </wp:positionH>
          <wp:positionV relativeFrom="page">
            <wp:posOffset>9836150</wp:posOffset>
          </wp:positionV>
          <wp:extent cx="5438775" cy="856615"/>
          <wp:effectExtent l="19050" t="0" r="9525" b="0"/>
          <wp:wrapNone/>
          <wp:docPr id="2" name="Bilde 1" descr="100503_Rafto_dokumentmal_e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503_Rafto_dokumentmal_eng-1.png"/>
                  <pic:cNvPicPr/>
                </pic:nvPicPr>
                <pic:blipFill>
                  <a:blip r:embed="rId2"/>
                  <a:stretch>
                    <a:fillRect/>
                  </a:stretch>
                </pic:blipFill>
                <pic:spPr>
                  <a:xfrm>
                    <a:off x="0" y="0"/>
                    <a:ext cx="5438775" cy="856615"/>
                  </a:xfrm>
                  <a:prstGeom prst="rect">
                    <a:avLst/>
                  </a:prstGeom>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A9F2" w14:textId="77777777" w:rsidR="005521EF" w:rsidRDefault="005521EF" w:rsidP="0080621E">
      <w:r>
        <w:separator/>
      </w:r>
    </w:p>
  </w:footnote>
  <w:footnote w:type="continuationSeparator" w:id="0">
    <w:p w14:paraId="53CA7C9C" w14:textId="77777777" w:rsidR="005521EF" w:rsidRDefault="005521EF" w:rsidP="0080621E">
      <w:r>
        <w:continuationSeparator/>
      </w:r>
    </w:p>
  </w:footnote>
  <w:footnote w:id="1">
    <w:p w14:paraId="7BE31B27"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
        <w:r>
          <w:rPr>
            <w:rFonts w:ascii="Aptos" w:eastAsia="Aptos" w:hAnsi="Aptos" w:cs="Aptos"/>
            <w:color w:val="467886"/>
            <w:sz w:val="16"/>
            <w:szCs w:val="16"/>
            <w:u w:val="single"/>
          </w:rPr>
          <w:t>AL COL (4.2025)</w:t>
        </w:r>
      </w:hyperlink>
    </w:p>
  </w:footnote>
  <w:footnote w:id="2">
    <w:p w14:paraId="52959B15"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2">
        <w:r>
          <w:rPr>
            <w:rFonts w:ascii="Aptos" w:eastAsia="Aptos" w:hAnsi="Aptos" w:cs="Aptos"/>
            <w:color w:val="467886"/>
            <w:sz w:val="16"/>
            <w:szCs w:val="16"/>
            <w:u w:val="single"/>
          </w:rPr>
          <w:t>A human health risk assessment of methylmercury, arsenic and metals in a tropical river basin impacted by gold mining in the Colombian Pacific region - ScienceDirect</w:t>
        </w:r>
      </w:hyperlink>
      <w:r>
        <w:rPr>
          <w:rFonts w:ascii="Aptos" w:eastAsia="Aptos" w:hAnsi="Aptos" w:cs="Aptos"/>
          <w:color w:val="000000"/>
          <w:sz w:val="16"/>
          <w:szCs w:val="16"/>
        </w:rPr>
        <w:t xml:space="preserve">; </w:t>
      </w:r>
      <w:hyperlink r:id="rId3">
        <w:r>
          <w:rPr>
            <w:rFonts w:ascii="Aptos" w:eastAsia="Aptos" w:hAnsi="Aptos" w:cs="Aptos"/>
            <w:color w:val="467886"/>
            <w:sz w:val="16"/>
            <w:szCs w:val="16"/>
            <w:u w:val="single"/>
          </w:rPr>
          <w:t>Mercury</w:t>
        </w:r>
      </w:hyperlink>
    </w:p>
  </w:footnote>
  <w:footnote w:id="3">
    <w:p w14:paraId="506B4E78"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4">
        <w:r>
          <w:rPr>
            <w:rFonts w:ascii="Aptos" w:eastAsia="Aptos" w:hAnsi="Aptos" w:cs="Aptos"/>
            <w:color w:val="467886"/>
            <w:sz w:val="16"/>
            <w:szCs w:val="16"/>
            <w:u w:val="single"/>
          </w:rPr>
          <w:t>AL COL (4.2025)</w:t>
        </w:r>
      </w:hyperlink>
    </w:p>
  </w:footnote>
  <w:footnote w:id="4">
    <w:p w14:paraId="3FAE2344" w14:textId="77777777" w:rsidR="00B31FE9" w:rsidRDefault="00B31FE9" w:rsidP="00B31FE9">
      <w:pPr>
        <w:pBdr>
          <w:top w:val="nil"/>
          <w:left w:val="nil"/>
          <w:bottom w:val="nil"/>
          <w:right w:val="nil"/>
          <w:between w:val="nil"/>
        </w:pBdr>
        <w:rPr>
          <w:rFonts w:ascii="Times New Roman" w:hAnsi="Times New Roman"/>
          <w:color w:val="000000"/>
        </w:rPr>
      </w:pPr>
      <w:r>
        <w:rPr>
          <w:vertAlign w:val="superscript"/>
        </w:rPr>
        <w:footnoteRef/>
      </w:r>
      <w:r>
        <w:rPr>
          <w:rFonts w:ascii="Aptos" w:eastAsia="Aptos" w:hAnsi="Aptos" w:cs="Aptos"/>
          <w:color w:val="000000"/>
          <w:sz w:val="16"/>
          <w:szCs w:val="16"/>
        </w:rPr>
        <w:t xml:space="preserve"> </w:t>
      </w:r>
      <w:hyperlink r:id="rId5">
        <w:r>
          <w:rPr>
            <w:rFonts w:ascii="Aptos" w:eastAsia="Aptos" w:hAnsi="Aptos" w:cs="Aptos"/>
            <w:color w:val="467886"/>
            <w:sz w:val="16"/>
            <w:szCs w:val="16"/>
            <w:u w:val="single"/>
          </w:rPr>
          <w:t>https://www.climatecasechart.com/document/atrato-river-decision-t-622-16-of-november-10-2016_976c</w:t>
        </w:r>
      </w:hyperlink>
      <w:r>
        <w:rPr>
          <w:rFonts w:ascii="Aptos" w:eastAsia="Aptos" w:hAnsi="Aptos" w:cs="Aptos"/>
          <w:color w:val="000000"/>
          <w:sz w:val="16"/>
          <w:szCs w:val="16"/>
        </w:rPr>
        <w:t>;</w:t>
      </w:r>
    </w:p>
  </w:footnote>
  <w:footnote w:id="5">
    <w:p w14:paraId="168BC118"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6">
        <w:r>
          <w:rPr>
            <w:rFonts w:ascii="Aptos" w:eastAsia="Aptos" w:hAnsi="Aptos" w:cs="Aptos"/>
            <w:color w:val="467886"/>
            <w:sz w:val="16"/>
            <w:szCs w:val="16"/>
            <w:u w:val="single"/>
          </w:rPr>
          <w:t>ECR25_P2b_Minerals_Crime.pdf</w:t>
        </w:r>
      </w:hyperlink>
    </w:p>
  </w:footnote>
  <w:footnote w:id="6">
    <w:p w14:paraId="0A7B83F3"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7">
        <w:r>
          <w:rPr>
            <w:rFonts w:ascii="Aptos" w:eastAsia="Aptos" w:hAnsi="Aptos" w:cs="Aptos"/>
            <w:color w:val="467886"/>
            <w:sz w:val="16"/>
            <w:szCs w:val="16"/>
            <w:u w:val="single"/>
          </w:rPr>
          <w:t xml:space="preserve">Colombia: Plan de Respuesta a </w:t>
        </w:r>
        <w:proofErr w:type="spellStart"/>
        <w:r>
          <w:rPr>
            <w:rFonts w:ascii="Aptos" w:eastAsia="Aptos" w:hAnsi="Aptos" w:cs="Aptos"/>
            <w:color w:val="467886"/>
            <w:sz w:val="16"/>
            <w:szCs w:val="16"/>
            <w:u w:val="single"/>
          </w:rPr>
          <w:t>Prioridades</w:t>
        </w:r>
        <w:proofErr w:type="spellEnd"/>
        <w:r>
          <w:rPr>
            <w:rFonts w:ascii="Aptos" w:eastAsia="Aptos" w:hAnsi="Aptos" w:cs="Aptos"/>
            <w:color w:val="467886"/>
            <w:sz w:val="16"/>
            <w:szCs w:val="16"/>
            <w:u w:val="single"/>
          </w:rPr>
          <w:t xml:space="preserve"> </w:t>
        </w:r>
        <w:proofErr w:type="spellStart"/>
        <w:r>
          <w:rPr>
            <w:rFonts w:ascii="Aptos" w:eastAsia="Aptos" w:hAnsi="Aptos" w:cs="Aptos"/>
            <w:color w:val="467886"/>
            <w:sz w:val="16"/>
            <w:szCs w:val="16"/>
            <w:u w:val="single"/>
          </w:rPr>
          <w:t>Comunitarias</w:t>
        </w:r>
        <w:proofErr w:type="spellEnd"/>
        <w:r>
          <w:rPr>
            <w:rFonts w:ascii="Aptos" w:eastAsia="Aptos" w:hAnsi="Aptos" w:cs="Aptos"/>
            <w:color w:val="467886"/>
            <w:sz w:val="16"/>
            <w:szCs w:val="16"/>
            <w:u w:val="single"/>
          </w:rPr>
          <w:t xml:space="preserve">, </w:t>
        </w:r>
        <w:proofErr w:type="spellStart"/>
        <w:r>
          <w:rPr>
            <w:rFonts w:ascii="Aptos" w:eastAsia="Aptos" w:hAnsi="Aptos" w:cs="Aptos"/>
            <w:color w:val="467886"/>
            <w:sz w:val="16"/>
            <w:szCs w:val="16"/>
            <w:u w:val="single"/>
          </w:rPr>
          <w:t>enero</w:t>
        </w:r>
        <w:proofErr w:type="spellEnd"/>
        <w:r>
          <w:rPr>
            <w:rFonts w:ascii="Aptos" w:eastAsia="Aptos" w:hAnsi="Aptos" w:cs="Aptos"/>
            <w:color w:val="467886"/>
            <w:sz w:val="16"/>
            <w:szCs w:val="16"/>
            <w:u w:val="single"/>
          </w:rPr>
          <w:t xml:space="preserve"> 2025 - Colombia | ReliefWeb</w:t>
        </w:r>
      </w:hyperlink>
    </w:p>
  </w:footnote>
  <w:footnote w:id="7">
    <w:p w14:paraId="3F81A6AB"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8">
        <w:r>
          <w:rPr>
            <w:rFonts w:ascii="Aptos" w:eastAsia="Aptos" w:hAnsi="Aptos" w:cs="Aptos"/>
            <w:color w:val="467886"/>
            <w:sz w:val="16"/>
            <w:szCs w:val="16"/>
            <w:u w:val="single"/>
          </w:rPr>
          <w:t>Colombia: Ongoing conflict stalls progress towards peace | NRC</w:t>
        </w:r>
      </w:hyperlink>
    </w:p>
  </w:footnote>
  <w:footnote w:id="8">
    <w:p w14:paraId="6BE3BA19"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9">
        <w:r>
          <w:rPr>
            <w:rFonts w:ascii="Aptos" w:eastAsia="Aptos" w:hAnsi="Aptos" w:cs="Aptos"/>
            <w:color w:val="467886"/>
            <w:sz w:val="16"/>
            <w:szCs w:val="16"/>
            <w:u w:val="single"/>
          </w:rPr>
          <w:t>Illegal Gold Mining Has Become a Crisis Too Large for the U.S. to Ignore</w:t>
        </w:r>
      </w:hyperlink>
    </w:p>
  </w:footnote>
  <w:footnote w:id="9">
    <w:p w14:paraId="1A6731F8"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Colombia has the third largest number of internally displaced people globally -  </w:t>
      </w:r>
      <w:hyperlink r:id="rId10">
        <w:r>
          <w:rPr>
            <w:rFonts w:ascii="Aptos" w:eastAsia="Aptos" w:hAnsi="Aptos" w:cs="Aptos"/>
            <w:color w:val="467886"/>
            <w:sz w:val="16"/>
            <w:szCs w:val="16"/>
            <w:u w:val="single"/>
          </w:rPr>
          <w:t>Colombia: Trapped in their own territory | NRC</w:t>
        </w:r>
      </w:hyperlink>
    </w:p>
  </w:footnote>
  <w:footnote w:id="10">
    <w:p w14:paraId="03F4A554"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Controlling the movements of the people or not allowing them to move for longer periods of time, </w:t>
      </w:r>
    </w:p>
  </w:footnote>
  <w:footnote w:id="11">
    <w:p w14:paraId="5B773DC3"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1" w:anchor="bb52e4">
        <w:r>
          <w:rPr>
            <w:rFonts w:ascii="Aptos" w:eastAsia="Aptos" w:hAnsi="Aptos" w:cs="Aptos"/>
            <w:color w:val="467886"/>
            <w:sz w:val="16"/>
            <w:szCs w:val="16"/>
            <w:u w:val="single"/>
          </w:rPr>
          <w:t>World Report 2026: Colombia | Human Rights Watch</w:t>
        </w:r>
      </w:hyperlink>
    </w:p>
  </w:footnote>
  <w:footnote w:id="12">
    <w:p w14:paraId="08894F2A"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2">
        <w:r>
          <w:rPr>
            <w:rFonts w:ascii="Aptos" w:eastAsia="Aptos" w:hAnsi="Aptos" w:cs="Aptos"/>
            <w:color w:val="467886"/>
            <w:sz w:val="16"/>
            <w:szCs w:val="16"/>
            <w:u w:val="single"/>
          </w:rPr>
          <w:t>Colombia: Urgent action needed to end widespread violence against human rights defenders – UN report | OHCHR</w:t>
        </w:r>
      </w:hyperlink>
    </w:p>
  </w:footnote>
  <w:footnote w:id="13">
    <w:p w14:paraId="16AEB243"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3" w:anchor="bb52e4">
        <w:r>
          <w:rPr>
            <w:rFonts w:ascii="Aptos" w:eastAsia="Aptos" w:hAnsi="Aptos" w:cs="Aptos"/>
            <w:color w:val="467886"/>
            <w:sz w:val="16"/>
            <w:szCs w:val="16"/>
            <w:u w:val="single"/>
          </w:rPr>
          <w:t>https://www.hrw.org/world-report/2026/country-chapters/colombia#bb52e4</w:t>
        </w:r>
      </w:hyperlink>
      <w:r>
        <w:rPr>
          <w:rFonts w:ascii="Aptos" w:eastAsia="Aptos" w:hAnsi="Aptos" w:cs="Aptos"/>
          <w:color w:val="000000"/>
          <w:sz w:val="16"/>
          <w:szCs w:val="16"/>
        </w:rPr>
        <w:t xml:space="preserve"> </w:t>
      </w:r>
    </w:p>
  </w:footnote>
  <w:footnote w:id="14">
    <w:p w14:paraId="46F96A10"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4">
        <w:r>
          <w:rPr>
            <w:rFonts w:ascii="Aptos" w:eastAsia="Aptos" w:hAnsi="Aptos" w:cs="Aptos"/>
            <w:color w:val="467886"/>
            <w:sz w:val="16"/>
            <w:szCs w:val="16"/>
            <w:u w:val="single"/>
          </w:rPr>
          <w:t>https://apnews.com/article/environmental-defenders-report-global-witness-latin-america-a1852340a1e5cb0b21da155eb3469981</w:t>
        </w:r>
      </w:hyperlink>
      <w:r>
        <w:rPr>
          <w:rFonts w:ascii="Aptos" w:eastAsia="Aptos" w:hAnsi="Aptos" w:cs="Aptos"/>
          <w:color w:val="000000"/>
          <w:sz w:val="16"/>
          <w:szCs w:val="16"/>
        </w:rPr>
        <w:t xml:space="preserve"> </w:t>
      </w:r>
    </w:p>
  </w:footnote>
  <w:footnote w:id="15">
    <w:p w14:paraId="6966CAB7"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5">
        <w:r>
          <w:rPr>
            <w:rFonts w:ascii="Aptos" w:eastAsia="Aptos" w:hAnsi="Aptos" w:cs="Aptos"/>
            <w:color w:val="467886"/>
            <w:sz w:val="16"/>
            <w:szCs w:val="16"/>
            <w:u w:val="single"/>
          </w:rPr>
          <w:t>02-24-2025-Ingles-Informe-Anual-Del-Alto-Comisionado-ONU-DDHH.pdf</w:t>
        </w:r>
      </w:hyperlink>
    </w:p>
  </w:footnote>
  <w:footnote w:id="16">
    <w:p w14:paraId="277BC5B1"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6">
        <w:r>
          <w:rPr>
            <w:rFonts w:ascii="Aptos" w:eastAsia="Aptos" w:hAnsi="Aptos" w:cs="Aptos"/>
            <w:color w:val="467886"/>
            <w:sz w:val="16"/>
            <w:szCs w:val="16"/>
            <w:u w:val="single"/>
          </w:rPr>
          <w:t>https://www.aptnnews.ca/national-news/un-warns-of-ongoing-tragedy-as-indigenous-groups-in-colombia-face-extinction/</w:t>
        </w:r>
      </w:hyperlink>
      <w:r>
        <w:rPr>
          <w:rFonts w:ascii="Aptos" w:eastAsia="Aptos" w:hAnsi="Aptos" w:cs="Aptos"/>
          <w:color w:val="000000"/>
          <w:sz w:val="16"/>
          <w:szCs w:val="16"/>
        </w:rPr>
        <w:t xml:space="preserve"> </w:t>
      </w:r>
    </w:p>
  </w:footnote>
  <w:footnote w:id="17">
    <w:p w14:paraId="525BF0C4" w14:textId="77777777" w:rsidR="00B31FE9" w:rsidRDefault="00B31FE9" w:rsidP="00B31FE9">
      <w:pPr>
        <w:pBdr>
          <w:top w:val="nil"/>
          <w:left w:val="nil"/>
          <w:bottom w:val="nil"/>
          <w:right w:val="nil"/>
          <w:between w:val="nil"/>
        </w:pBdr>
        <w:rPr>
          <w:rFonts w:ascii="Aptos" w:eastAsia="Aptos" w:hAnsi="Aptos" w:cs="Aptos"/>
          <w:color w:val="000000"/>
          <w:sz w:val="16"/>
          <w:szCs w:val="16"/>
        </w:rPr>
      </w:pPr>
      <w:r>
        <w:rPr>
          <w:vertAlign w:val="superscript"/>
        </w:rPr>
        <w:footnoteRef/>
      </w:r>
      <w:r>
        <w:rPr>
          <w:rFonts w:ascii="Aptos" w:eastAsia="Aptos" w:hAnsi="Aptos" w:cs="Aptos"/>
          <w:color w:val="000000"/>
          <w:sz w:val="16"/>
          <w:szCs w:val="16"/>
        </w:rPr>
        <w:t xml:space="preserve"> </w:t>
      </w:r>
      <w:hyperlink r:id="rId17">
        <w:r>
          <w:rPr>
            <w:rFonts w:ascii="Aptos" w:eastAsia="Aptos" w:hAnsi="Aptos" w:cs="Aptos"/>
            <w:color w:val="467886"/>
            <w:sz w:val="16"/>
            <w:szCs w:val="16"/>
            <w:u w:val="single"/>
          </w:rPr>
          <w:t xml:space="preserve">International Court of Justice (ICJ). 2025. </w:t>
        </w:r>
      </w:hyperlink>
      <w:hyperlink r:id="rId18">
        <w:r>
          <w:rPr>
            <w:rFonts w:ascii="Aptos" w:eastAsia="Aptos" w:hAnsi="Aptos" w:cs="Aptos"/>
            <w:i/>
            <w:iCs/>
            <w:color w:val="467886"/>
            <w:sz w:val="16"/>
            <w:szCs w:val="16"/>
            <w:u w:val="single"/>
          </w:rPr>
          <w:t>Obligations of States in Respect of Climate Change, Advisory Opinion</w:t>
        </w:r>
      </w:hyperlink>
      <w:hyperlink r:id="rId19">
        <w:r>
          <w:rPr>
            <w:rFonts w:ascii="Aptos" w:eastAsia="Aptos" w:hAnsi="Aptos" w:cs="Aptos"/>
            <w:color w:val="467886"/>
            <w:sz w:val="16"/>
            <w:szCs w:val="16"/>
            <w:u w:val="single"/>
          </w:rPr>
          <w:t>, 23 July 2025</w:t>
        </w:r>
      </w:hyperlink>
      <w:r>
        <w:rPr>
          <w:rFonts w:ascii="Aptos" w:eastAsia="Aptos" w:hAnsi="Aptos" w:cs="Aptos"/>
          <w:color w:val="000000"/>
          <w:sz w:val="16"/>
          <w:szCs w:val="16"/>
        </w:rPr>
        <w:t>.</w:t>
      </w:r>
    </w:p>
  </w:footnote>
  <w:footnote w:id="18">
    <w:p w14:paraId="2C306466" w14:textId="77777777" w:rsidR="00B31FE9" w:rsidRDefault="00B31FE9" w:rsidP="00B31FE9">
      <w:pPr>
        <w:pBdr>
          <w:top w:val="nil"/>
          <w:left w:val="nil"/>
          <w:bottom w:val="nil"/>
          <w:right w:val="nil"/>
          <w:between w:val="nil"/>
        </w:pBdr>
        <w:rPr>
          <w:rFonts w:ascii="Times New Roman" w:hAnsi="Times New Roman"/>
          <w:color w:val="000000"/>
        </w:rPr>
      </w:pPr>
      <w:r>
        <w:rPr>
          <w:vertAlign w:val="superscript"/>
        </w:rPr>
        <w:footnoteRef/>
      </w:r>
      <w:r>
        <w:rPr>
          <w:rFonts w:ascii="Aptos" w:eastAsia="Aptos" w:hAnsi="Aptos" w:cs="Aptos"/>
          <w:color w:val="000000"/>
          <w:sz w:val="16"/>
          <w:szCs w:val="16"/>
        </w:rPr>
        <w:t xml:space="preserve"> McNeish, J. A., &amp; Socha, J. M. (2024). Muddy waters: on the problematic political ecology of the Atrato ruling, Colombia. The International Journal of Human Rights, 1–21.</w:t>
      </w:r>
      <w:r>
        <w:rPr>
          <w:rFonts w:ascii="Times New Roman" w:hAnsi="Times New Roman"/>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77D8" w14:textId="77777777" w:rsidR="0099603D" w:rsidRDefault="00BC7C3D">
    <w:pPr>
      <w:pStyle w:val="Topptekst"/>
    </w:pPr>
    <w:r>
      <w:rPr>
        <w:noProof/>
        <w:lang w:val="nb-NO" w:eastAsia="nb-NO"/>
      </w:rPr>
      <w:drawing>
        <wp:inline distT="0" distB="0" distL="0" distR="0" wp14:anchorId="336DFD20" wp14:editId="1D9478D0">
          <wp:extent cx="651233" cy="11334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ftologo HOVED svart_brevhode.png"/>
                  <pic:cNvPicPr/>
                </pic:nvPicPr>
                <pic:blipFill>
                  <a:blip r:embed="rId1">
                    <a:extLst>
                      <a:ext uri="{28A0092B-C50C-407E-A947-70E740481C1C}">
                        <a14:useLocalDpi xmlns:a14="http://schemas.microsoft.com/office/drawing/2010/main" val="0"/>
                      </a:ext>
                    </a:extLst>
                  </a:blip>
                  <a:stretch>
                    <a:fillRect/>
                  </a:stretch>
                </pic:blipFill>
                <pic:spPr>
                  <a:xfrm>
                    <a:off x="0" y="0"/>
                    <a:ext cx="654434" cy="11390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CAE79B8"/>
    <w:lvl w:ilvl="0">
      <w:start w:val="1"/>
      <w:numFmt w:val="decimal"/>
      <w:pStyle w:val="Nummerertliste"/>
      <w:lvlText w:val="%1."/>
      <w:lvlJc w:val="left"/>
      <w:pPr>
        <w:tabs>
          <w:tab w:val="num" w:pos="360"/>
        </w:tabs>
        <w:ind w:left="360" w:hanging="360"/>
      </w:pPr>
    </w:lvl>
  </w:abstractNum>
  <w:abstractNum w:abstractNumId="1" w15:restartNumberingAfterBreak="0">
    <w:nsid w:val="FFFFFF89"/>
    <w:multiLevelType w:val="singleLevel"/>
    <w:tmpl w:val="138A112C"/>
    <w:lvl w:ilvl="0">
      <w:start w:val="1"/>
      <w:numFmt w:val="bullet"/>
      <w:pStyle w:val="Punktliste"/>
      <w:lvlText w:val=""/>
      <w:lvlJc w:val="left"/>
      <w:pPr>
        <w:tabs>
          <w:tab w:val="num" w:pos="360"/>
        </w:tabs>
        <w:ind w:left="360" w:hanging="360"/>
      </w:pPr>
      <w:rPr>
        <w:rFonts w:ascii="Symbol" w:hAnsi="Symbol" w:hint="default"/>
      </w:rPr>
    </w:lvl>
  </w:abstractNum>
  <w:num w:numId="1" w16cid:durableId="1153254697">
    <w:abstractNumId w:val="1"/>
  </w:num>
  <w:num w:numId="2" w16cid:durableId="1422409160">
    <w:abstractNumId w:val="1"/>
  </w:num>
  <w:num w:numId="3" w16cid:durableId="486434793">
    <w:abstractNumId w:val="0"/>
  </w:num>
  <w:num w:numId="4" w16cid:durableId="1338652953">
    <w:abstractNumId w:val="0"/>
  </w:num>
  <w:num w:numId="5" w16cid:durableId="82915352">
    <w:abstractNumId w:val="1"/>
  </w:num>
  <w:num w:numId="6" w16cid:durableId="155728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E9"/>
    <w:rsid w:val="00017FBF"/>
    <w:rsid w:val="0003203A"/>
    <w:rsid w:val="001961F6"/>
    <w:rsid w:val="00197EA7"/>
    <w:rsid w:val="001A7466"/>
    <w:rsid w:val="001E5321"/>
    <w:rsid w:val="001E6A71"/>
    <w:rsid w:val="00215DF6"/>
    <w:rsid w:val="00224DC7"/>
    <w:rsid w:val="00276E2A"/>
    <w:rsid w:val="00326F5F"/>
    <w:rsid w:val="00374CA8"/>
    <w:rsid w:val="003E7F3D"/>
    <w:rsid w:val="003F6883"/>
    <w:rsid w:val="0053297F"/>
    <w:rsid w:val="005521EF"/>
    <w:rsid w:val="006B54EF"/>
    <w:rsid w:val="007E5AFB"/>
    <w:rsid w:val="007E7E9A"/>
    <w:rsid w:val="0080621E"/>
    <w:rsid w:val="008E1C3A"/>
    <w:rsid w:val="009449DB"/>
    <w:rsid w:val="00955D9C"/>
    <w:rsid w:val="00965329"/>
    <w:rsid w:val="0099603D"/>
    <w:rsid w:val="009A3F00"/>
    <w:rsid w:val="009A71CD"/>
    <w:rsid w:val="009D5022"/>
    <w:rsid w:val="009F6889"/>
    <w:rsid w:val="00A43BE0"/>
    <w:rsid w:val="00AC3987"/>
    <w:rsid w:val="00B063BB"/>
    <w:rsid w:val="00B3081C"/>
    <w:rsid w:val="00B31FE9"/>
    <w:rsid w:val="00B60C2B"/>
    <w:rsid w:val="00BA6DA2"/>
    <w:rsid w:val="00BB4D0C"/>
    <w:rsid w:val="00BC7C3D"/>
    <w:rsid w:val="00DB3A48"/>
    <w:rsid w:val="00F0028D"/>
    <w:rsid w:val="00F1647C"/>
    <w:rsid w:val="00FE45C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C59B1"/>
  <w15:docId w15:val="{36B1B213-A3AF-4FDA-B044-5DAE822C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heading 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itle" w:qFormat="1"/>
    <w:lsdException w:name="Body Text" w:qFormat="1"/>
    <w:lsdException w:name="Subtitl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E6A71"/>
    <w:rPr>
      <w:rFonts w:ascii="Verdana" w:hAnsi="Verdana"/>
      <w:szCs w:val="24"/>
      <w:lang w:val="en-US" w:eastAsia="en-US"/>
    </w:rPr>
  </w:style>
  <w:style w:type="paragraph" w:styleId="Overskrift1">
    <w:name w:val="heading 1"/>
    <w:basedOn w:val="Normal"/>
    <w:next w:val="Brdtekst"/>
    <w:qFormat/>
    <w:rsid w:val="00F0028D"/>
    <w:pPr>
      <w:keepNext/>
      <w:spacing w:before="240" w:line="270" w:lineRule="exact"/>
      <w:outlineLvl w:val="0"/>
    </w:pPr>
    <w:rPr>
      <w:rFonts w:cs="Arial"/>
      <w:b/>
      <w:bCs/>
      <w:caps/>
      <w:kern w:val="32"/>
      <w:sz w:val="22"/>
      <w:szCs w:val="32"/>
    </w:rPr>
  </w:style>
  <w:style w:type="paragraph" w:styleId="Overskrift2">
    <w:name w:val="heading 2"/>
    <w:basedOn w:val="Overskrift1"/>
    <w:next w:val="Brdtekst"/>
    <w:rsid w:val="006B54EF"/>
    <w:pPr>
      <w:outlineLvl w:val="1"/>
    </w:pPr>
    <w:rPr>
      <w:bCs w:val="0"/>
      <w:i/>
      <w:iCs/>
      <w:szCs w:val="28"/>
    </w:rPr>
  </w:style>
  <w:style w:type="paragraph" w:styleId="Overskrift3">
    <w:name w:val="heading 3"/>
    <w:basedOn w:val="Overskrift2"/>
    <w:next w:val="Brdtekst"/>
    <w:rsid w:val="009A3F00"/>
    <w:pPr>
      <w:spacing w:after="120"/>
      <w:outlineLvl w:val="2"/>
    </w:pPr>
    <w:rPr>
      <w:b w:val="0"/>
      <w:bCs/>
      <w:szCs w:val="26"/>
    </w:rPr>
  </w:style>
  <w:style w:type="paragraph" w:styleId="Overskrift4">
    <w:name w:val="heading 4"/>
    <w:basedOn w:val="Normal"/>
    <w:next w:val="Brdtekst"/>
    <w:link w:val="Overskrift4Tegn"/>
    <w:rsid w:val="0003203A"/>
    <w:pPr>
      <w:keepNext/>
      <w:keepLines/>
      <w:spacing w:before="200"/>
      <w:outlineLvl w:val="3"/>
    </w:pPr>
    <w:rPr>
      <w:rFonts w:eastAsiaTheme="majorEastAsia" w:cstheme="majorBidi"/>
      <w:b/>
      <w:bCs/>
      <w:i/>
      <w:iCs/>
      <w:color w:val="000000" w:themeColor="tex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qFormat/>
    <w:rsid w:val="006B54EF"/>
    <w:pPr>
      <w:spacing w:line="288" w:lineRule="auto"/>
    </w:pPr>
    <w:rPr>
      <w:rFonts w:ascii="Georgia" w:hAnsi="Georgia"/>
    </w:rPr>
  </w:style>
  <w:style w:type="paragraph" w:styleId="Bildetekst">
    <w:name w:val="caption"/>
    <w:basedOn w:val="Normal"/>
    <w:next w:val="Normal"/>
    <w:rsid w:val="009A3F00"/>
    <w:rPr>
      <w:b/>
      <w:bCs/>
      <w:szCs w:val="20"/>
    </w:rPr>
  </w:style>
  <w:style w:type="paragraph" w:styleId="Hilsen">
    <w:name w:val="Closing"/>
    <w:basedOn w:val="Normal"/>
    <w:semiHidden/>
    <w:rsid w:val="009A3F00"/>
    <w:pPr>
      <w:keepNext/>
      <w:keepLines/>
    </w:pPr>
  </w:style>
  <w:style w:type="paragraph" w:styleId="Dato">
    <w:name w:val="Date"/>
    <w:basedOn w:val="Normal"/>
    <w:next w:val="Normal"/>
    <w:semiHidden/>
    <w:rsid w:val="009A3F00"/>
  </w:style>
  <w:style w:type="paragraph" w:styleId="Konvoluttadresse">
    <w:name w:val="envelope address"/>
    <w:basedOn w:val="Normal"/>
    <w:semiHidden/>
    <w:rsid w:val="009A3F00"/>
  </w:style>
  <w:style w:type="paragraph" w:styleId="Avsenderadresse">
    <w:name w:val="envelope return"/>
    <w:basedOn w:val="Normal"/>
    <w:semiHidden/>
    <w:rsid w:val="009A3F00"/>
    <w:rPr>
      <w:rFonts w:cs="Arial"/>
      <w:szCs w:val="20"/>
    </w:rPr>
  </w:style>
  <w:style w:type="paragraph" w:styleId="Bunntekst">
    <w:name w:val="footer"/>
    <w:basedOn w:val="Normal"/>
    <w:semiHidden/>
    <w:rsid w:val="009A3F00"/>
  </w:style>
  <w:style w:type="paragraph" w:styleId="Topptekst">
    <w:name w:val="header"/>
    <w:basedOn w:val="Normal"/>
    <w:semiHidden/>
    <w:rsid w:val="009A3F00"/>
  </w:style>
  <w:style w:type="paragraph" w:styleId="Punktliste">
    <w:name w:val="List Bullet"/>
    <w:basedOn w:val="Normal"/>
    <w:semiHidden/>
    <w:rsid w:val="009A3F00"/>
    <w:pPr>
      <w:numPr>
        <w:numId w:val="5"/>
      </w:numPr>
    </w:pPr>
  </w:style>
  <w:style w:type="paragraph" w:styleId="Nummerertliste">
    <w:name w:val="List Number"/>
    <w:basedOn w:val="Normal"/>
    <w:semiHidden/>
    <w:rsid w:val="009A3F00"/>
    <w:pPr>
      <w:numPr>
        <w:numId w:val="6"/>
      </w:numPr>
    </w:pPr>
  </w:style>
  <w:style w:type="character" w:styleId="Sidetall">
    <w:name w:val="page number"/>
    <w:basedOn w:val="Standardskriftforavsnitt"/>
    <w:semiHidden/>
    <w:rsid w:val="009A3F00"/>
  </w:style>
  <w:style w:type="paragraph" w:styleId="Innledendehilsen">
    <w:name w:val="Salutation"/>
    <w:basedOn w:val="Normal"/>
    <w:next w:val="Normal"/>
    <w:semiHidden/>
    <w:rsid w:val="009A3F00"/>
  </w:style>
  <w:style w:type="paragraph" w:styleId="Underskrift">
    <w:name w:val="Signature"/>
    <w:basedOn w:val="Normal"/>
    <w:semiHidden/>
    <w:rsid w:val="009A3F00"/>
  </w:style>
  <w:style w:type="character" w:styleId="Sterk">
    <w:name w:val="Strong"/>
    <w:basedOn w:val="Standardskriftforavsnitt"/>
    <w:rsid w:val="009A3F00"/>
    <w:rPr>
      <w:b/>
      <w:bCs/>
    </w:rPr>
  </w:style>
  <w:style w:type="paragraph" w:styleId="Undertittel">
    <w:name w:val="Subtitle"/>
    <w:basedOn w:val="Normal"/>
    <w:next w:val="Normal"/>
    <w:qFormat/>
    <w:rsid w:val="00F0028D"/>
    <w:rPr>
      <w:caps/>
      <w:sz w:val="28"/>
    </w:rPr>
  </w:style>
  <w:style w:type="table" w:styleId="Tabellrutenett">
    <w:name w:val="Table Grid"/>
    <w:basedOn w:val="Vanligtabell"/>
    <w:semiHidden/>
    <w:rsid w:val="009A3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qFormat/>
    <w:rsid w:val="00F0028D"/>
    <w:pPr>
      <w:spacing w:after="40"/>
    </w:pPr>
    <w:rPr>
      <w:b/>
      <w:caps/>
      <w:sz w:val="36"/>
    </w:rPr>
  </w:style>
  <w:style w:type="character" w:customStyle="1" w:styleId="Overskrift4Tegn">
    <w:name w:val="Overskrift 4 Tegn"/>
    <w:basedOn w:val="Standardskriftforavsnitt"/>
    <w:link w:val="Overskrift4"/>
    <w:rsid w:val="0003203A"/>
    <w:rPr>
      <w:rFonts w:ascii="Arial" w:eastAsiaTheme="majorEastAsia" w:hAnsi="Arial" w:cstheme="majorBidi"/>
      <w:b/>
      <w:bCs/>
      <w:i/>
      <w:iCs/>
      <w:color w:val="000000" w:themeColor="text1"/>
      <w:szCs w:val="24"/>
      <w:lang w:eastAsia="en-US"/>
    </w:rPr>
  </w:style>
  <w:style w:type="paragraph" w:styleId="Bobletekst">
    <w:name w:val="Balloon Text"/>
    <w:basedOn w:val="Normal"/>
    <w:link w:val="BobletekstTegn"/>
    <w:rsid w:val="0080621E"/>
    <w:rPr>
      <w:rFonts w:ascii="Tahoma" w:hAnsi="Tahoma" w:cs="Tahoma"/>
      <w:sz w:val="16"/>
      <w:szCs w:val="16"/>
    </w:rPr>
  </w:style>
  <w:style w:type="character" w:customStyle="1" w:styleId="BobletekstTegn">
    <w:name w:val="Bobletekst Tegn"/>
    <w:basedOn w:val="Standardskriftforavsnitt"/>
    <w:link w:val="Bobletekst"/>
    <w:rsid w:val="0080621E"/>
    <w:rPr>
      <w:rFonts w:ascii="Tahoma" w:hAnsi="Tahoma" w:cs="Tahoma"/>
      <w:sz w:val="16"/>
      <w:szCs w:val="16"/>
      <w:lang w:eastAsia="en-US"/>
    </w:rPr>
  </w:style>
  <w:style w:type="paragraph" w:customStyle="1" w:styleId="Konvoluttadresse1">
    <w:name w:val="Konvoluttadresse1"/>
    <w:basedOn w:val="Brdtekst"/>
    <w:rsid w:val="009A71CD"/>
    <w:pPr>
      <w:spacing w:line="250" w:lineRule="exact"/>
    </w:pPr>
    <w:rPr>
      <w:rFonts w:ascii="Verdana" w:hAnsi="Verdana"/>
    </w:rPr>
  </w:style>
  <w:style w:type="character" w:styleId="Plassholdertekst">
    <w:name w:val="Placeholder Text"/>
    <w:basedOn w:val="Standardskriftforavsnitt"/>
    <w:uiPriority w:val="99"/>
    <w:semiHidden/>
    <w:rsid w:val="009A71CD"/>
    <w:rPr>
      <w:color w:val="808080"/>
    </w:rPr>
  </w:style>
  <w:style w:type="paragraph" w:customStyle="1" w:styleId="Ingress">
    <w:name w:val="Ingress"/>
    <w:basedOn w:val="Brdtekst"/>
    <w:rsid w:val="0099603D"/>
    <w:pPr>
      <w:spacing w:line="270" w:lineRule="exac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nrc.no/news/2025/november/colombia-ongoing-conflict-stalls-progress-towards-peace" TargetMode="External"/><Relationship Id="rId13" Type="http://schemas.openxmlformats.org/officeDocument/2006/relationships/hyperlink" Target="https://www.hrw.org/world-report/2026/country-chapters/colombia" TargetMode="External"/><Relationship Id="rId18" Type="http://schemas.openxmlformats.org/officeDocument/2006/relationships/hyperlink" Target="https://www.icj-cij.org/sites/default/files/case-related/187/187-20250723-adv-01-00-en.pdf" TargetMode="External"/><Relationship Id="rId3" Type="http://schemas.openxmlformats.org/officeDocument/2006/relationships/hyperlink" Target="https://www.who.int/news-room/fact-sheets/detail/mercury-and-health" TargetMode="External"/><Relationship Id="rId7" Type="http://schemas.openxmlformats.org/officeDocument/2006/relationships/hyperlink" Target="https://reliefweb.int/report/colombia/colombia-plan-de-respuesta-prioridades-comunitarias-enero-2025?_gl=1*l2v5pc*_ga*MTc3NzU4NTUzMi4xNzU4MjA1NTQ3*_ga_E60ZNX2F68*czE3NjMwNjYyNjkkbzE4JGcxJHQxNzYzMDY2MjgzJGo0NiRsMCRoMA.." TargetMode="External"/><Relationship Id="rId12" Type="http://schemas.openxmlformats.org/officeDocument/2006/relationships/hyperlink" Target="https://www.ohchr.org/en/press-releases/2026/03/colombia-urgent-action-needed-end-widespread-violence-against-human-rights" TargetMode="External"/><Relationship Id="rId17" Type="http://schemas.openxmlformats.org/officeDocument/2006/relationships/hyperlink" Target="https://www.icj-cij.org/sites/default/files/case-related/187/187-20250723-adv-01-00-en.pdf" TargetMode="External"/><Relationship Id="rId2" Type="http://schemas.openxmlformats.org/officeDocument/2006/relationships/hyperlink" Target="https://www.sciencedirect.com/science/article/pii/S0013935122004479" TargetMode="External"/><Relationship Id="rId16" Type="http://schemas.openxmlformats.org/officeDocument/2006/relationships/hyperlink" Target="https://www.aptnnews.ca/national-news/un-warns-of-ongoing-tragedy-as-indigenous-groups-in-colombia-face-extinction/" TargetMode="External"/><Relationship Id="rId1" Type="http://schemas.openxmlformats.org/officeDocument/2006/relationships/hyperlink" Target="https://spcommreports.ohchr.org/TMResultsBase/DownLoadPublicCommunicationFile?gId=30277" TargetMode="External"/><Relationship Id="rId6" Type="http://schemas.openxmlformats.org/officeDocument/2006/relationships/hyperlink" Target="https://www.unodc.org/documents/data-and-analysis/Crimes%20on%20Environment/ECR25_P2b_Minerals_Crime.pdf" TargetMode="External"/><Relationship Id="rId11" Type="http://schemas.openxmlformats.org/officeDocument/2006/relationships/hyperlink" Target="https://www.hrw.org/world-report/2026/country-chapters/colombia" TargetMode="External"/><Relationship Id="rId5" Type="http://schemas.openxmlformats.org/officeDocument/2006/relationships/hyperlink" Target="https://www.climatecasechart.com/document/atrato-river-decision-t-622-16-of-november-10-2016_976c" TargetMode="External"/><Relationship Id="rId15" Type="http://schemas.openxmlformats.org/officeDocument/2006/relationships/hyperlink" Target="https://www.hchr.org.co/wp/wp-content/uploads/2025/02/02-24-2025-Ingles-Informe-Anual-Del-Alto-Comisionado-ONU-DDHH.pdf" TargetMode="External"/><Relationship Id="rId10" Type="http://schemas.openxmlformats.org/officeDocument/2006/relationships/hyperlink" Target="https://www.nrc.no/news/2026/colombia-trapped-in-their-own-territory" TargetMode="External"/><Relationship Id="rId19" Type="http://schemas.openxmlformats.org/officeDocument/2006/relationships/hyperlink" Target="https://www.icj-cij.org/sites/default/files/case-related/187/187-20250723-adv-01-00-en.pdf" TargetMode="External"/><Relationship Id="rId4" Type="http://schemas.openxmlformats.org/officeDocument/2006/relationships/hyperlink" Target="https://spcommreports.ohchr.org/TMResultsBase/DownLoadPublicCommunicationFile?gId=30277" TargetMode="External"/><Relationship Id="rId9" Type="http://schemas.openxmlformats.org/officeDocument/2006/relationships/hyperlink" Target="https://thefactcoalition.org/illegal-gold-mining-has-become-a-crisis-too-large-for-the-u-s-to-ignore/" TargetMode="External"/><Relationship Id="rId14" Type="http://schemas.openxmlformats.org/officeDocument/2006/relationships/hyperlink" Target="https://apnews.com/article/environmental-defenders-report-global-witness-latin-america-a1852340a1e5cb0b21da155eb34699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jaBreisnes\Downloads\Press%20release%20ENG%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5B2FF2FDE8446D815FE3348E5D2839"/>
        <w:category>
          <w:name w:val="Generelt"/>
          <w:gallery w:val="placeholder"/>
        </w:category>
        <w:types>
          <w:type w:val="bbPlcHdr"/>
        </w:types>
        <w:behaviors>
          <w:behavior w:val="content"/>
        </w:behaviors>
        <w:guid w:val="{B28D5DCF-4249-4B33-AF39-F8910326DA2D}"/>
      </w:docPartPr>
      <w:docPartBody>
        <w:p w:rsidR="00000000" w:rsidRDefault="00000000">
          <w:pPr>
            <w:pStyle w:val="F75B2FF2FDE8446D815FE3348E5D2839"/>
          </w:pPr>
          <w:r>
            <w:t>Ingress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35"/>
    <w:rsid w:val="00326F5F"/>
    <w:rsid w:val="00B66535"/>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8B655521B3114DBBA8D04236308B4BD0">
    <w:name w:val="8B655521B3114DBBA8D04236308B4BD0"/>
  </w:style>
  <w:style w:type="paragraph" w:customStyle="1" w:styleId="32C51506D9CC4C3F9388FB43B29A0155">
    <w:name w:val="32C51506D9CC4C3F9388FB43B29A0155"/>
  </w:style>
  <w:style w:type="paragraph" w:customStyle="1" w:styleId="AD037487DEC44C8EBEB2079C54D1013F">
    <w:name w:val="AD037487DEC44C8EBEB2079C54D1013F"/>
  </w:style>
  <w:style w:type="paragraph" w:customStyle="1" w:styleId="F75B2FF2FDE8446D815FE3348E5D2839">
    <w:name w:val="F75B2FF2FDE8446D815FE3348E5D2839"/>
  </w:style>
  <w:style w:type="paragraph" w:customStyle="1" w:styleId="008294A99189444AB9D413E0D9D8643B">
    <w:name w:val="008294A99189444AB9D413E0D9D86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6c24c6-7920-44e0-b5b1-55ed1b27948f" xsi:nil="true"/>
    <lcf76f155ced4ddcb4097134ff3c332f xmlns="f8fb4405-51f5-4326-a3db-0f9d429ec3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56FC97D9B2D00478CBEE2C7EBF6638E" ma:contentTypeVersion="18" ma:contentTypeDescription="Opprett et nytt dokument." ma:contentTypeScope="" ma:versionID="35c160cc3ddcb7f6ae8bc555f7b498fb">
  <xsd:schema xmlns:xsd="http://www.w3.org/2001/XMLSchema" xmlns:xs="http://www.w3.org/2001/XMLSchema" xmlns:p="http://schemas.microsoft.com/office/2006/metadata/properties" xmlns:ns2="f8fb4405-51f5-4326-a3db-0f9d429ec34c" xmlns:ns3="f46c24c6-7920-44e0-b5b1-55ed1b27948f" targetNamespace="http://schemas.microsoft.com/office/2006/metadata/properties" ma:root="true" ma:fieldsID="776c94f794017b9732454a8fc8187dad" ns2:_="" ns3:_="">
    <xsd:import namespace="f8fb4405-51f5-4326-a3db-0f9d429ec34c"/>
    <xsd:import namespace="f46c24c6-7920-44e0-b5b1-55ed1b2794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b4405-51f5-4326-a3db-0f9d429ec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565d0140-916c-4c3e-95d1-151cfa9a39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6c24c6-7920-44e0-b5b1-55ed1b27948f"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e5bcad6d-da3c-4df4-affe-3f184efd5c93}" ma:internalName="TaxCatchAll" ma:showField="CatchAllData" ma:web="f46c24c6-7920-44e0-b5b1-55ed1b2794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A0E69-37BE-403F-B687-A77CB3DEDF29}">
  <ds:schemaRefs>
    <ds:schemaRef ds:uri="http://schemas.microsoft.com/office/2006/metadata/properties"/>
    <ds:schemaRef ds:uri="http://schemas.microsoft.com/office/infopath/2007/PartnerControls"/>
    <ds:schemaRef ds:uri="f46c24c6-7920-44e0-b5b1-55ed1b27948f"/>
    <ds:schemaRef ds:uri="f8fb4405-51f5-4326-a3db-0f9d429ec34c"/>
  </ds:schemaRefs>
</ds:datastoreItem>
</file>

<file path=customXml/itemProps2.xml><?xml version="1.0" encoding="utf-8"?>
<ds:datastoreItem xmlns:ds="http://schemas.openxmlformats.org/officeDocument/2006/customXml" ds:itemID="{ADB2EDC7-2F3E-4BC7-B769-BD2C45F968CB}">
  <ds:schemaRefs>
    <ds:schemaRef ds:uri="http://schemas.microsoft.com/sharepoint/v3/contenttype/forms"/>
  </ds:schemaRefs>
</ds:datastoreItem>
</file>

<file path=customXml/itemProps3.xml><?xml version="1.0" encoding="utf-8"?>
<ds:datastoreItem xmlns:ds="http://schemas.openxmlformats.org/officeDocument/2006/customXml" ds:itemID="{120B97FB-B042-427F-8034-6747177D5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b4405-51f5-4326-a3db-0f9d429ec34c"/>
    <ds:schemaRef ds:uri="f46c24c6-7920-44e0-b5b1-55ed1b279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 release ENG 2018</Template>
  <TotalTime>3</TotalTime>
  <Pages>6</Pages>
  <Words>1682</Words>
  <Characters>9543</Characters>
  <Application>Microsoft Office Word</Application>
  <DocSecurity>0</DocSecurity>
  <Lines>151</Lines>
  <Paragraphs>33</Paragraphs>
  <ScaleCrop>false</ScaleCrop>
  <HeadingPairs>
    <vt:vector size="2" baseType="variant">
      <vt:variant>
        <vt:lpstr>Tittel</vt:lpstr>
      </vt:variant>
      <vt:variant>
        <vt:i4>1</vt:i4>
      </vt:variant>
    </vt:vector>
  </HeadingPairs>
  <TitlesOfParts>
    <vt:vector size="1" baseType="lpstr">
      <vt:lpstr/>
    </vt:vector>
  </TitlesOfParts>
  <Company>Rafto</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Breisnes</dc:creator>
  <dc:description>Dev by addpoint.no</dc:description>
  <cp:lastModifiedBy>Ronja Breisnes</cp:lastModifiedBy>
  <cp:revision>1</cp:revision>
  <dcterms:created xsi:type="dcterms:W3CDTF">2026-09-11T12:08:00Z</dcterms:created>
  <dcterms:modified xsi:type="dcterms:W3CDTF">2026-09-11T12:13:00Z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v by">
    <vt:lpwstr>addpoint.no</vt:lpwstr>
  </property>
  <property fmtid="{D5CDD505-2E9C-101B-9397-08002B2CF9AE}" pid="3" name="ContentTypeId">
    <vt:lpwstr>0x010100356FC97D9B2D00478CBEE2C7EBF6638E</vt:lpwstr>
  </property>
</Properties>
</file>